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4"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fM1x1wAAAAgBAAAPAAAAAAAAAAEAIAAA&#10;ACIAAABkcnMvZG93bnJldi54bWxQSwECFAAUAAAACACHTuJACapl8w0CAABGBAAADgAAAAAAAAAB&#10;ACAAAAAmAQAAZHJzL2Uyb0RvYy54bWxQSwUGAAAAAAYABgBZAQAApQUAAAAA&#10;">
                <v:fill on="t" focussize="0,0"/>
                <v:stroke color="#FFFFFF" joinstyle="miter"/>
                <v:imagedata o:title=""/>
                <o:lock v:ext="edit" aspectratio="f"/>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核酸快速检测系统</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hint="eastAsia" w:ascii="经典标宋简" w:eastAsia="经典标宋简"/>
          <w:b/>
          <w:snapToGrid w:val="0"/>
          <w:kern w:val="0"/>
          <w:sz w:val="44"/>
          <w:szCs w:val="44"/>
        </w:rPr>
      </w:pPr>
    </w:p>
    <w:p>
      <w:pPr>
        <w:pStyle w:val="20"/>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SZZZ2023-QA0171</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二〇二三年</w:t>
      </w:r>
      <w:r>
        <w:rPr>
          <w:rFonts w:hint="eastAsia"/>
          <w:b/>
          <w:snapToGrid w:val="0"/>
          <w:sz w:val="30"/>
          <w:lang w:val="en-US" w:eastAsia="zh-CN"/>
        </w:rPr>
        <w:t>八</w:t>
      </w:r>
      <w:r>
        <w:rPr>
          <w:rFonts w:hint="eastAsia"/>
          <w:b/>
          <w:snapToGrid w:val="0"/>
          <w:sz w:val="30"/>
        </w:rPr>
        <w:t>月</w:t>
      </w:r>
      <w:r>
        <w:rPr>
          <w:b/>
          <w:kern w:val="0"/>
          <w:sz w:val="28"/>
          <w:szCs w:val="28"/>
        </w:rPr>
        <w:br w:type="page"/>
      </w: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二、《深圳经济特区政府采购条例实施细则》第七十六条 供应商有下列行为之一的，由主管部门记入供应商诚信档案并作出以下处罚：</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spacing w:line="440" w:lineRule="exact"/>
        <w:ind w:firstLine="480" w:firstLineChars="200"/>
        <w:rPr>
          <w:rFonts w:ascii="仿宋" w:hAnsi="仿宋" w:eastAsia="仿宋"/>
          <w:sz w:val="24"/>
        </w:rPr>
      </w:pPr>
      <w:r>
        <w:rPr>
          <w:rFonts w:hint="eastAsia" w:ascii="仿宋" w:hAnsi="仿宋" w:eastAsia="仿宋"/>
          <w:sz w:val="24"/>
        </w:rPr>
        <w:t xml:space="preserve">第七十七条 供应商有下列行为之一的，属于情节严重，由市场监管部门依法吊销其营业执照，主管部门取消其参与本市政府采购的资格，并作出以下处罚： </w:t>
      </w:r>
    </w:p>
    <w:p>
      <w:pPr>
        <w:spacing w:line="440" w:lineRule="exact"/>
        <w:ind w:firstLine="480" w:firstLineChars="200"/>
        <w:rPr>
          <w:rFonts w:ascii="仿宋" w:hAnsi="仿宋" w:eastAsia="仿宋"/>
          <w:sz w:val="24"/>
        </w:rPr>
      </w:pPr>
      <w:r>
        <w:rPr>
          <w:rFonts w:hint="eastAsia" w:ascii="仿宋" w:hAnsi="仿宋" w:eastAsia="仿宋"/>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pacing w:line="440" w:lineRule="exact"/>
        <w:ind w:firstLine="480" w:firstLineChars="200"/>
        <w:rPr>
          <w:rFonts w:ascii="仿宋" w:hAnsi="仿宋" w:eastAsia="仿宋"/>
          <w:sz w:val="24"/>
        </w:rPr>
      </w:pPr>
      <w:r>
        <w:rPr>
          <w:rFonts w:hint="eastAsia" w:ascii="仿宋" w:hAnsi="仿宋" w:eastAsia="仿宋"/>
          <w:sz w:val="24"/>
        </w:rPr>
        <w:t>第七十九条 供应商有下列情形的，属于采购条例所称的串通投标行为，按照采购条例第五十七条有关规定处理：</w:t>
      </w:r>
    </w:p>
    <w:p>
      <w:pPr>
        <w:spacing w:line="440" w:lineRule="exact"/>
        <w:ind w:firstLine="480" w:firstLineChars="200"/>
        <w:rPr>
          <w:rFonts w:ascii="仿宋" w:hAnsi="仿宋" w:eastAsia="仿宋"/>
          <w:sz w:val="24"/>
        </w:rPr>
      </w:pPr>
      <w:r>
        <w:rPr>
          <w:rFonts w:hint="eastAsia" w:ascii="仿宋" w:hAnsi="仿宋" w:eastAsia="仿宋"/>
          <w:sz w:val="24"/>
        </w:rPr>
        <w:t>（一）投标供应商之间相互约定给予未中标的供应商利益补偿；</w:t>
      </w:r>
    </w:p>
    <w:p>
      <w:pPr>
        <w:spacing w:line="440" w:lineRule="exact"/>
        <w:ind w:firstLine="480" w:firstLineChars="200"/>
        <w:rPr>
          <w:rFonts w:ascii="仿宋" w:hAnsi="仿宋" w:eastAsia="仿宋"/>
          <w:sz w:val="24"/>
        </w:rPr>
      </w:pPr>
      <w:r>
        <w:rPr>
          <w:rFonts w:hint="eastAsia" w:ascii="仿宋" w:hAnsi="仿宋" w:eastAsia="仿宋"/>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0" w:firstLineChars="200"/>
        <w:rPr>
          <w:rFonts w:ascii="仿宋" w:hAnsi="仿宋" w:eastAsia="仿宋"/>
          <w:sz w:val="24"/>
        </w:rPr>
      </w:pPr>
      <w:r>
        <w:rPr>
          <w:rFonts w:hint="eastAsia" w:ascii="仿宋" w:hAnsi="仿宋" w:eastAsia="仿宋"/>
          <w:sz w:val="24"/>
        </w:rPr>
        <w:t>（三）不同投标供应商的投标文件由同一单位或者同一人编制，或者由同一人分阶段参与编制的；</w:t>
      </w:r>
    </w:p>
    <w:p>
      <w:pPr>
        <w:spacing w:line="440" w:lineRule="exact"/>
        <w:ind w:firstLine="480" w:firstLineChars="200"/>
        <w:rPr>
          <w:rFonts w:ascii="仿宋" w:hAnsi="仿宋" w:eastAsia="仿宋"/>
          <w:sz w:val="24"/>
        </w:rPr>
      </w:pPr>
      <w:r>
        <w:rPr>
          <w:rFonts w:hint="eastAsia" w:ascii="仿宋" w:hAnsi="仿宋" w:eastAsia="仿宋"/>
          <w:sz w:val="24"/>
        </w:rPr>
        <w:t>（四）不同投标供应商的投标文件或部分投标文件相互混装；</w:t>
      </w:r>
    </w:p>
    <w:p>
      <w:pPr>
        <w:spacing w:line="440" w:lineRule="exact"/>
        <w:ind w:firstLine="480" w:firstLineChars="200"/>
        <w:rPr>
          <w:rFonts w:ascii="仿宋" w:hAnsi="仿宋" w:eastAsia="仿宋"/>
          <w:sz w:val="24"/>
        </w:rPr>
      </w:pPr>
      <w:r>
        <w:rPr>
          <w:rFonts w:hint="eastAsia" w:ascii="仿宋" w:hAnsi="仿宋" w:eastAsia="仿宋"/>
          <w:sz w:val="24"/>
        </w:rPr>
        <w:t>（五）不同投标供应商的投标文件内容存在非正常一致；</w:t>
      </w:r>
    </w:p>
    <w:p>
      <w:pPr>
        <w:spacing w:line="440" w:lineRule="exact"/>
        <w:ind w:firstLine="480" w:firstLineChars="200"/>
        <w:rPr>
          <w:rFonts w:ascii="仿宋" w:hAnsi="仿宋" w:eastAsia="仿宋"/>
          <w:sz w:val="24"/>
        </w:rPr>
      </w:pPr>
      <w:r>
        <w:rPr>
          <w:rFonts w:hint="eastAsia" w:ascii="仿宋" w:hAnsi="仿宋" w:eastAsia="仿宋"/>
          <w:sz w:val="24"/>
        </w:rPr>
        <w:t>（六）由同一单位工作人员为两家以上（含两家）供应商进行同一项投标活动的；</w:t>
      </w:r>
    </w:p>
    <w:p>
      <w:pPr>
        <w:spacing w:line="440" w:lineRule="exact"/>
        <w:ind w:firstLine="480" w:firstLineChars="200"/>
        <w:rPr>
          <w:rFonts w:ascii="仿宋" w:hAnsi="仿宋" w:eastAsia="仿宋"/>
          <w:sz w:val="24"/>
        </w:rPr>
      </w:pPr>
      <w:r>
        <w:rPr>
          <w:rFonts w:hint="eastAsia" w:ascii="仿宋" w:hAnsi="仿宋" w:eastAsia="仿宋"/>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第八十一条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三、根据《中华人民共和国政府采购法实施条例》第十八条规定：“单位负责人为同一人或者存在直接控股、管理关系的不同供应商，不得参加同一合同项下的政府采购活动。”</w:t>
      </w: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r>
        <w:rPr>
          <w:rFonts w:hint="eastAsia" w:ascii="仿宋" w:hAnsi="仿宋" w:eastAsia="仿宋"/>
          <w:sz w:val="24"/>
        </w:rPr>
        <w:cr/>
      </w: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smallCaps w:val="0"/>
          <w:color w:val="auto"/>
          <w:kern w:val="2"/>
          <w:sz w:val="21"/>
          <w:szCs w:val="24"/>
          <w:lang w:val="en-US"/>
        </w:rPr>
      </w:sdtEndPr>
      <w:sdtContent>
        <w:p>
          <w:pPr>
            <w:pStyle w:val="505"/>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38"/>
            </w:tabs>
            <w:spacing w:line="360" w:lineRule="atLeast"/>
            <w:rPr>
              <w:rFonts w:ascii="仿宋_GB2312" w:hAnsi="仿宋_GB2312" w:eastAsia="仿宋_GB2312" w:cs="仿宋_GB2312"/>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"_Toc1573" </w:instrText>
          </w:r>
          <w:r>
            <w:fldChar w:fldCharType="separate"/>
          </w:r>
          <w:r>
            <w:rPr>
              <w:rFonts w:hint="eastAsia" w:ascii="仿宋_GB2312" w:hAnsi="仿宋_GB2312" w:eastAsia="仿宋_GB2312" w:cs="仿宋_GB2312"/>
              <w:sz w:val="24"/>
            </w:rPr>
            <w:t>第一章  投标邀请</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_Toc1573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34"/>
            <w:tabs>
              <w:tab w:val="right" w:leader="dot" w:pos="9638"/>
            </w:tabs>
            <w:spacing w:line="360" w:lineRule="atLeast"/>
            <w:rPr>
              <w:rFonts w:ascii="仿宋_GB2312" w:hAnsi="仿宋_GB2312" w:eastAsia="仿宋_GB2312" w:cs="仿宋_GB2312"/>
              <w:sz w:val="24"/>
            </w:rPr>
          </w:pPr>
          <w:r>
            <w:fldChar w:fldCharType="begin"/>
          </w:r>
          <w:r>
            <w:instrText xml:space="preserve"> HYPERLINK \l "_Toc19468" </w:instrText>
          </w:r>
          <w:r>
            <w:fldChar w:fldCharType="separate"/>
          </w:r>
          <w:r>
            <w:rPr>
              <w:rFonts w:hint="eastAsia" w:ascii="仿宋_GB2312" w:hAnsi="仿宋_GB2312" w:eastAsia="仿宋_GB2312" w:cs="仿宋_GB2312"/>
              <w:sz w:val="24"/>
            </w:rPr>
            <w:t>第二章  项目需求</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_Toc19468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34"/>
            <w:tabs>
              <w:tab w:val="right" w:leader="dot" w:pos="9638"/>
            </w:tabs>
            <w:spacing w:line="360" w:lineRule="atLeast"/>
            <w:rPr>
              <w:rFonts w:ascii="仿宋_GB2312" w:hAnsi="仿宋_GB2312" w:eastAsia="仿宋_GB2312" w:cs="仿宋_GB2312"/>
              <w:sz w:val="24"/>
            </w:rPr>
          </w:pPr>
          <w:r>
            <w:fldChar w:fldCharType="begin"/>
          </w:r>
          <w:r>
            <w:instrText xml:space="preserve"> HYPERLINK \l "_Toc29936" </w:instrText>
          </w:r>
          <w:r>
            <w:fldChar w:fldCharType="separate"/>
          </w:r>
          <w:r>
            <w:rPr>
              <w:rFonts w:hint="eastAsia" w:ascii="仿宋_GB2312" w:hAnsi="仿宋_GB2312" w:eastAsia="仿宋_GB2312" w:cs="仿宋_GB2312"/>
              <w:sz w:val="24"/>
            </w:rPr>
            <w:t>第三章  投标文件初审</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_Toc29936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14</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34"/>
            <w:tabs>
              <w:tab w:val="right" w:leader="dot" w:pos="9638"/>
            </w:tabs>
            <w:spacing w:line="360" w:lineRule="atLeast"/>
            <w:rPr>
              <w:rFonts w:ascii="仿宋_GB2312" w:hAnsi="仿宋_GB2312" w:eastAsia="仿宋_GB2312" w:cs="仿宋_GB2312"/>
              <w:sz w:val="24"/>
            </w:rPr>
          </w:pPr>
          <w:r>
            <w:fldChar w:fldCharType="begin"/>
          </w:r>
          <w:r>
            <w:instrText xml:space="preserve"> HYPERLINK \l "_Toc7853" </w:instrText>
          </w:r>
          <w:r>
            <w:fldChar w:fldCharType="separate"/>
          </w:r>
          <w:r>
            <w:rPr>
              <w:rFonts w:hint="eastAsia" w:ascii="仿宋_GB2312" w:hAnsi="仿宋_GB2312" w:eastAsia="仿宋_GB2312" w:cs="仿宋_GB2312"/>
              <w:sz w:val="24"/>
            </w:rPr>
            <w:t>第四章  评标方法和标准</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_Toc7853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"_Toc14249" </w:instrText>
          </w:r>
          <w:r>
            <w:fldChar w:fldCharType="separate"/>
          </w:r>
          <w:r>
            <w:rPr>
              <w:rFonts w:hint="eastAsia" w:ascii="仿宋_GB2312" w:hAnsi="仿宋_GB2312" w:eastAsia="仿宋_GB2312" w:cs="仿宋_GB2312"/>
              <w:sz w:val="24"/>
            </w:rPr>
            <w:t>一、评标方法</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_Toc14249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"_Toc24528" </w:instrText>
          </w:r>
          <w:r>
            <w:fldChar w:fldCharType="separate"/>
          </w:r>
          <w:r>
            <w:rPr>
              <w:rFonts w:hint="eastAsia" w:ascii="仿宋_GB2312" w:hAnsi="仿宋_GB2312" w:eastAsia="仿宋_GB2312" w:cs="仿宋_GB2312"/>
              <w:sz w:val="24"/>
            </w:rPr>
            <w:t>二、评标标准</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_Toc24528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"_Toc11512" </w:instrText>
          </w:r>
          <w:r>
            <w:fldChar w:fldCharType="separate"/>
          </w:r>
          <w:r>
            <w:rPr>
              <w:rFonts w:hint="eastAsia" w:ascii="仿宋_GB2312" w:hAnsi="仿宋_GB2312" w:eastAsia="仿宋_GB2312" w:cs="仿宋_GB2312"/>
              <w:sz w:val="24"/>
            </w:rPr>
            <w:t>备注：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_Toc11512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25"/>
            <w:tabs>
              <w:tab w:val="right" w:leader="dot" w:pos="9638"/>
            </w:tabs>
            <w:spacing w:line="360" w:lineRule="atLeast"/>
            <w:rPr>
              <w:rFonts w:ascii="仿宋_GB2312" w:hAnsi="仿宋_GB2312" w:eastAsia="仿宋_GB2312" w:cs="仿宋_GB2312"/>
              <w:sz w:val="24"/>
            </w:rPr>
          </w:pPr>
          <w:r>
            <w:fldChar w:fldCharType="begin"/>
          </w:r>
          <w:r>
            <w:instrText xml:space="preserve"> HYPERLINK \l "_Toc22485" </w:instrText>
          </w:r>
          <w:r>
            <w:fldChar w:fldCharType="separate"/>
          </w:r>
          <w:r>
            <w:rPr>
              <w:rFonts w:hint="eastAsia" w:ascii="仿宋_GB2312" w:hAnsi="仿宋_GB2312" w:eastAsia="仿宋_GB2312" w:cs="仿宋_GB2312"/>
              <w:sz w:val="24"/>
            </w:rPr>
            <w:t>1、资质证书有效期</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_Toc22485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25"/>
            <w:tabs>
              <w:tab w:val="right" w:leader="dot" w:pos="9638"/>
            </w:tabs>
            <w:spacing w:line="360" w:lineRule="atLeast"/>
            <w:rPr>
              <w:rFonts w:ascii="仿宋_GB2312" w:hAnsi="仿宋_GB2312" w:eastAsia="仿宋_GB2312" w:cs="仿宋_GB2312"/>
              <w:sz w:val="24"/>
            </w:rPr>
          </w:pPr>
          <w:r>
            <w:fldChar w:fldCharType="begin"/>
          </w:r>
          <w:r>
            <w:instrText xml:space="preserve"> HYPERLINK \l "_Toc14006" </w:instrText>
          </w:r>
          <w:r>
            <w:fldChar w:fldCharType="separate"/>
          </w:r>
          <w:r>
            <w:rPr>
              <w:rFonts w:hint="eastAsia" w:ascii="仿宋_GB2312" w:hAnsi="仿宋_GB2312" w:eastAsia="仿宋_GB2312" w:cs="仿宋_GB2312"/>
              <w:sz w:val="24"/>
            </w:rPr>
            <w:t>2、政府采购扶持政策</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_Toc14006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34"/>
            <w:tabs>
              <w:tab w:val="right" w:leader="dot" w:pos="9638"/>
            </w:tabs>
            <w:spacing w:line="360" w:lineRule="atLeast"/>
            <w:rPr>
              <w:rFonts w:ascii="仿宋_GB2312" w:hAnsi="仿宋_GB2312" w:eastAsia="仿宋_GB2312" w:cs="仿宋_GB2312"/>
              <w:sz w:val="24"/>
            </w:rPr>
          </w:pPr>
          <w:r>
            <w:fldChar w:fldCharType="begin"/>
          </w:r>
          <w:r>
            <w:instrText xml:space="preserve"> HYPERLINK \l "_Toc30812" </w:instrText>
          </w:r>
          <w:r>
            <w:fldChar w:fldCharType="separate"/>
          </w:r>
          <w:r>
            <w:rPr>
              <w:rFonts w:hint="eastAsia" w:ascii="仿宋_GB2312" w:hAnsi="仿宋_GB2312" w:eastAsia="仿宋_GB2312" w:cs="仿宋_GB2312"/>
              <w:sz w:val="24"/>
            </w:rPr>
            <w:t>第五章  投标人须知前附表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_Toc30812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34"/>
            <w:tabs>
              <w:tab w:val="right" w:leader="dot" w:pos="9638"/>
            </w:tabs>
            <w:spacing w:line="360" w:lineRule="atLeast"/>
            <w:rPr>
              <w:rFonts w:ascii="仿宋_GB2312" w:hAnsi="仿宋_GB2312" w:eastAsia="仿宋_GB2312" w:cs="仿宋_GB2312"/>
              <w:sz w:val="24"/>
            </w:rPr>
          </w:pPr>
          <w:r>
            <w:fldChar w:fldCharType="begin"/>
          </w:r>
          <w:r>
            <w:instrText xml:space="preserve"> HYPERLINK \l "_Toc25212" </w:instrText>
          </w:r>
          <w:r>
            <w:fldChar w:fldCharType="separate"/>
          </w:r>
          <w:r>
            <w:rPr>
              <w:rFonts w:hint="eastAsia" w:ascii="仿宋_GB2312" w:hAnsi="仿宋_GB2312" w:eastAsia="仿宋_GB2312" w:cs="仿宋_GB2312"/>
              <w:sz w:val="24"/>
            </w:rPr>
            <w:t>第六章  投标人须知</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_Toc25212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22</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"_Toc30995" </w:instrText>
          </w:r>
          <w:r>
            <w:fldChar w:fldCharType="separate"/>
          </w:r>
          <w:r>
            <w:rPr>
              <w:rFonts w:hint="eastAsia" w:ascii="仿宋_GB2312" w:hAnsi="仿宋_GB2312" w:eastAsia="仿宋_GB2312" w:cs="仿宋_GB2312"/>
              <w:sz w:val="24"/>
            </w:rPr>
            <w:t>一、说  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_Toc30995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22</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"_Toc20440" </w:instrText>
          </w:r>
          <w:r>
            <w:fldChar w:fldCharType="separate"/>
          </w:r>
          <w:r>
            <w:rPr>
              <w:rFonts w:hint="eastAsia" w:ascii="仿宋_GB2312" w:hAnsi="仿宋_GB2312" w:eastAsia="仿宋_GB2312" w:cs="仿宋_GB2312"/>
              <w:sz w:val="24"/>
            </w:rPr>
            <w:t>二、招标文件说明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_Toc20440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24</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"_Toc28574" </w:instrText>
          </w:r>
          <w:r>
            <w:fldChar w:fldCharType="separate"/>
          </w:r>
          <w:r>
            <w:rPr>
              <w:rFonts w:hint="eastAsia" w:ascii="仿宋_GB2312" w:hAnsi="仿宋_GB2312" w:eastAsia="仿宋_GB2312" w:cs="仿宋_GB2312"/>
              <w:sz w:val="24"/>
            </w:rPr>
            <w:t>三、投标文件的编写</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_Toc28574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"_Toc2301" </w:instrText>
          </w:r>
          <w:r>
            <w:fldChar w:fldCharType="separate"/>
          </w:r>
          <w:r>
            <w:rPr>
              <w:rFonts w:hint="eastAsia" w:ascii="仿宋_GB2312" w:hAnsi="仿宋_GB2312" w:eastAsia="仿宋_GB2312" w:cs="仿宋_GB2312"/>
              <w:sz w:val="24"/>
            </w:rPr>
            <w:t>四、投标文件的递交</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_Toc2301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28</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"_Toc25593" </w:instrText>
          </w:r>
          <w:r>
            <w:fldChar w:fldCharType="separate"/>
          </w:r>
          <w:r>
            <w:rPr>
              <w:rFonts w:hint="eastAsia" w:ascii="仿宋_GB2312" w:hAnsi="仿宋_GB2312" w:eastAsia="仿宋_GB2312" w:cs="仿宋_GB2312"/>
              <w:sz w:val="24"/>
            </w:rPr>
            <w:t>五、开标和评标</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_Toc25593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"_Toc27180" </w:instrText>
          </w:r>
          <w:r>
            <w:fldChar w:fldCharType="separate"/>
          </w:r>
          <w:r>
            <w:rPr>
              <w:rFonts w:hint="eastAsia" w:ascii="仿宋_GB2312" w:hAnsi="仿宋_GB2312" w:eastAsia="仿宋_GB2312" w:cs="仿宋_GB2312"/>
              <w:sz w:val="24"/>
            </w:rPr>
            <w:t>六、授予合同</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_Toc27180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"_Toc11470" </w:instrText>
          </w:r>
          <w:r>
            <w:fldChar w:fldCharType="separate"/>
          </w:r>
          <w:r>
            <w:rPr>
              <w:rFonts w:hint="eastAsia" w:ascii="仿宋_GB2312" w:hAnsi="仿宋_GB2312" w:eastAsia="仿宋_GB2312" w:cs="仿宋_GB2312"/>
              <w:sz w:val="24"/>
            </w:rPr>
            <w:t>七、质疑处理</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_Toc11470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33</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34"/>
            <w:tabs>
              <w:tab w:val="right" w:leader="dot" w:pos="9638"/>
            </w:tabs>
            <w:spacing w:line="360" w:lineRule="atLeast"/>
            <w:rPr>
              <w:rFonts w:ascii="仿宋_GB2312" w:hAnsi="仿宋_GB2312" w:eastAsia="仿宋_GB2312" w:cs="仿宋_GB2312"/>
              <w:sz w:val="24"/>
            </w:rPr>
          </w:pPr>
          <w:r>
            <w:fldChar w:fldCharType="begin"/>
          </w:r>
          <w:r>
            <w:instrText xml:space="preserve"> HYPERLINK \l "_Toc21799" </w:instrText>
          </w:r>
          <w:r>
            <w:fldChar w:fldCharType="separate"/>
          </w:r>
          <w:r>
            <w:rPr>
              <w:rFonts w:hint="eastAsia" w:ascii="仿宋_GB2312" w:hAnsi="仿宋_GB2312" w:eastAsia="仿宋_GB2312" w:cs="仿宋_GB2312"/>
              <w:sz w:val="24"/>
            </w:rPr>
            <w:t>第七章  投标文件格式</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_Toc21799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"_Toc31631" </w:instrText>
          </w:r>
          <w:r>
            <w:fldChar w:fldCharType="separate"/>
          </w:r>
          <w:r>
            <w:rPr>
              <w:rFonts w:hint="eastAsia" w:ascii="仿宋_GB2312" w:hAnsi="仿宋_GB2312" w:eastAsia="仿宋_GB2312" w:cs="仿宋_GB2312"/>
              <w:sz w:val="24"/>
            </w:rPr>
            <w:t>投标文件编制说明</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_Toc31631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"_Toc6504" </w:instrText>
          </w:r>
          <w:r>
            <w:fldChar w:fldCharType="separate"/>
          </w:r>
          <w:r>
            <w:rPr>
              <w:rFonts w:hint="eastAsia" w:ascii="仿宋_GB2312" w:hAnsi="仿宋_GB2312" w:eastAsia="仿宋_GB2312" w:cs="仿宋_GB2312"/>
              <w:sz w:val="24"/>
            </w:rPr>
            <w:t>投标文件格式</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_Toc6504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37</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"_Toc32347" </w:instrText>
          </w:r>
          <w:r>
            <w:fldChar w:fldCharType="separate"/>
          </w:r>
          <w:r>
            <w:rPr>
              <w:rFonts w:hint="eastAsia" w:ascii="仿宋_GB2312" w:hAnsi="仿宋_GB2312" w:eastAsia="仿宋_GB2312" w:cs="仿宋_GB2312"/>
              <w:sz w:val="24"/>
            </w:rPr>
            <w:t>政府采购违法行为风险知悉确认书</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_Toc32347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38</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41"/>
            <w:tabs>
              <w:tab w:val="right" w:leader="dot" w:pos="9638"/>
            </w:tabs>
            <w:spacing w:line="360" w:lineRule="atLeast"/>
            <w:rPr>
              <w:rFonts w:ascii="仿宋_GB2312" w:hAnsi="仿宋_GB2312" w:eastAsia="仿宋_GB2312" w:cs="仿宋_GB2312"/>
              <w:sz w:val="24"/>
            </w:rPr>
          </w:pPr>
          <w:r>
            <w:fldChar w:fldCharType="begin"/>
          </w:r>
          <w:r>
            <w:instrText xml:space="preserve"> HYPERLINK \l "_Toc32506" </w:instrText>
          </w:r>
          <w:r>
            <w:fldChar w:fldCharType="separate"/>
          </w:r>
          <w:r>
            <w:rPr>
              <w:rFonts w:hint="eastAsia" w:ascii="仿宋_GB2312" w:hAnsi="仿宋_GB2312" w:eastAsia="仿宋_GB2312" w:cs="仿宋_GB2312"/>
              <w:sz w:val="24"/>
            </w:rPr>
            <w:t>评标指引表</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_Toc32506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40</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34"/>
            <w:tabs>
              <w:tab w:val="right" w:leader="dot" w:pos="9638"/>
            </w:tabs>
            <w:spacing w:line="360" w:lineRule="atLeast"/>
            <w:rPr>
              <w:rFonts w:ascii="仿宋_GB2312" w:hAnsi="仿宋_GB2312" w:eastAsia="仿宋_GB2312" w:cs="仿宋_GB2312"/>
              <w:sz w:val="24"/>
            </w:rPr>
          </w:pPr>
          <w:r>
            <w:fldChar w:fldCharType="begin"/>
          </w:r>
          <w:r>
            <w:instrText xml:space="preserve"> HYPERLINK \l "_Toc28139" </w:instrText>
          </w:r>
          <w:r>
            <w:fldChar w:fldCharType="separate"/>
          </w:r>
          <w:r>
            <w:rPr>
              <w:rFonts w:hint="eastAsia" w:ascii="仿宋_GB2312" w:hAnsi="仿宋_GB2312" w:eastAsia="仿宋_GB2312" w:cs="仿宋_GB2312"/>
              <w:sz w:val="24"/>
            </w:rPr>
            <w:t>第八章  合同条款</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_Toc28139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61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34"/>
            <w:tabs>
              <w:tab w:val="right" w:leader="dot" w:pos="9638"/>
            </w:tabs>
            <w:spacing w:line="360" w:lineRule="atLeast"/>
            <w:rPr>
              <w:rFonts w:ascii="仿宋_GB2312" w:hAnsi="仿宋_GB2312" w:eastAsia="仿宋_GB2312" w:cs="仿宋_GB2312"/>
              <w:sz w:val="24"/>
            </w:rPr>
          </w:pPr>
          <w:r>
            <w:fldChar w:fldCharType="begin"/>
          </w:r>
          <w:r>
            <w:instrText xml:space="preserve"> HYPERLINK \l "_Toc4381" </w:instrText>
          </w:r>
          <w:r>
            <w:fldChar w:fldCharType="separate"/>
          </w:r>
          <w:r>
            <w:rPr>
              <w:rFonts w:hint="eastAsia" w:ascii="仿宋_GB2312" w:hAnsi="仿宋_GB2312" w:eastAsia="仿宋_GB2312" w:cs="仿宋_GB2312"/>
              <w:sz w:val="24"/>
            </w:rPr>
            <w:t>第九章  附件</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_Toc4381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65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25"/>
            <w:tabs>
              <w:tab w:val="right" w:leader="dot" w:pos="9638"/>
            </w:tabs>
            <w:spacing w:line="360" w:lineRule="atLeast"/>
            <w:rPr>
              <w:rFonts w:ascii="仿宋_GB2312" w:hAnsi="仿宋_GB2312" w:eastAsia="仿宋_GB2312" w:cs="仿宋_GB2312"/>
              <w:sz w:val="24"/>
            </w:rPr>
          </w:pPr>
          <w:r>
            <w:fldChar w:fldCharType="begin"/>
          </w:r>
          <w:r>
            <w:instrText xml:space="preserve"> HYPERLINK \l "_Toc20517" </w:instrText>
          </w:r>
          <w:r>
            <w:fldChar w:fldCharType="separate"/>
          </w:r>
          <w:r>
            <w:rPr>
              <w:rFonts w:hint="eastAsia" w:ascii="仿宋_GB2312" w:hAnsi="仿宋_GB2312" w:eastAsia="仿宋_GB2312" w:cs="仿宋_GB2312"/>
              <w:bCs/>
              <w:kern w:val="0"/>
              <w:sz w:val="24"/>
            </w:rPr>
            <w:t>一、财政部 工业和信息化部关于印发《政府采购促进中小企业发展管理办法》的通知</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_Toc20517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65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25"/>
            <w:tabs>
              <w:tab w:val="right" w:leader="dot" w:pos="9638"/>
            </w:tabs>
            <w:spacing w:line="360" w:lineRule="atLeast"/>
            <w:rPr>
              <w:rFonts w:ascii="仿宋_GB2312" w:hAnsi="仿宋_GB2312" w:eastAsia="仿宋_GB2312" w:cs="仿宋_GB2312"/>
              <w:sz w:val="24"/>
            </w:rPr>
          </w:pPr>
          <w:r>
            <w:fldChar w:fldCharType="begin"/>
          </w:r>
          <w:r>
            <w:instrText xml:space="preserve"> HYPERLINK \l "_Toc28455" </w:instrText>
          </w:r>
          <w:r>
            <w:fldChar w:fldCharType="separate"/>
          </w:r>
          <w:r>
            <w:rPr>
              <w:rFonts w:hint="eastAsia" w:ascii="仿宋_GB2312" w:hAnsi="仿宋_GB2312" w:eastAsia="仿宋_GB2312" w:cs="仿宋_GB2312"/>
              <w:bCs/>
              <w:kern w:val="0"/>
              <w:sz w:val="24"/>
            </w:rPr>
            <w:t>二、关于印发中小企业划型标准规定的通知</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_Toc28455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69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25"/>
            <w:tabs>
              <w:tab w:val="right" w:leader="dot" w:pos="9638"/>
            </w:tabs>
            <w:spacing w:line="360" w:lineRule="atLeast"/>
            <w:rPr>
              <w:rFonts w:ascii="仿宋_GB2312" w:hAnsi="仿宋_GB2312" w:eastAsia="仿宋_GB2312" w:cs="仿宋_GB2312"/>
              <w:sz w:val="24"/>
            </w:rPr>
          </w:pPr>
          <w:r>
            <w:fldChar w:fldCharType="begin"/>
          </w:r>
          <w:r>
            <w:instrText xml:space="preserve"> HYPERLINK \l "_Toc15362" </w:instrText>
          </w:r>
          <w:r>
            <w:fldChar w:fldCharType="separate"/>
          </w:r>
          <w:r>
            <w:rPr>
              <w:rFonts w:hint="eastAsia" w:ascii="仿宋_GB2312" w:hAnsi="仿宋_GB2312" w:eastAsia="仿宋_GB2312" w:cs="仿宋_GB2312"/>
              <w:kern w:val="0"/>
              <w:sz w:val="24"/>
            </w:rPr>
            <w:t>三、国家统计局关于印发《统计上大中小微型企业划分办法 （2017）》的通知 </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_Toc15362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72</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25"/>
            <w:tabs>
              <w:tab w:val="right" w:leader="dot" w:pos="9638"/>
            </w:tabs>
            <w:spacing w:line="360" w:lineRule="atLeast"/>
            <w:rPr>
              <w:rFonts w:ascii="仿宋_GB2312" w:hAnsi="仿宋_GB2312" w:eastAsia="仿宋_GB2312" w:cs="仿宋_GB2312"/>
              <w:sz w:val="24"/>
            </w:rPr>
          </w:pPr>
          <w:r>
            <w:fldChar w:fldCharType="begin"/>
          </w:r>
          <w:r>
            <w:instrText xml:space="preserve"> HYPERLINK \l "_Toc23865" </w:instrText>
          </w:r>
          <w:r>
            <w:fldChar w:fldCharType="separate"/>
          </w:r>
          <w:r>
            <w:rPr>
              <w:rFonts w:hint="eastAsia" w:ascii="仿宋_GB2312" w:hAnsi="仿宋_GB2312" w:eastAsia="仿宋_GB2312" w:cs="仿宋_GB2312"/>
              <w:bCs/>
              <w:kern w:val="0"/>
              <w:sz w:val="24"/>
            </w:rPr>
            <w:t>四、财政部 民政部 中国残疾人联合会关于促进残疾人就业 政府采购政策的通知</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_Toc23865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75</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p>
        <w:p>
          <w:pPr>
            <w:pStyle w:val="25"/>
            <w:tabs>
              <w:tab w:val="right" w:leader="dot" w:pos="9638"/>
            </w:tabs>
            <w:spacing w:line="360" w:lineRule="atLeast"/>
          </w:pPr>
          <w:r>
            <w:fldChar w:fldCharType="begin"/>
          </w:r>
          <w:r>
            <w:instrText xml:space="preserve"> HYPERLINK \l "_Toc4588" </w:instrText>
          </w:r>
          <w:r>
            <w:fldChar w:fldCharType="separate"/>
          </w:r>
          <w:r>
            <w:rPr>
              <w:rFonts w:hint="eastAsia" w:ascii="仿宋_GB2312" w:hAnsi="仿宋_GB2312" w:eastAsia="仿宋_GB2312" w:cs="仿宋_GB2312"/>
              <w:bCs/>
              <w:kern w:val="0"/>
              <w:sz w:val="24"/>
            </w:rPr>
            <w:t>五、财政部 司法部关于政府采购支持监狱企业发展有关问题的通知</w:t>
          </w:r>
          <w:r>
            <w:rPr>
              <w:rFonts w:hint="eastAsia" w:ascii="仿宋_GB2312" w:hAnsi="仿宋_GB2312" w:eastAsia="仿宋_GB2312" w:cs="仿宋_GB2312"/>
              <w:sz w:val="24"/>
            </w:rPr>
            <w:tab/>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PAGEREF _Toc4588 \h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77</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fldChar w:fldCharType="end"/>
          </w:r>
          <w:r>
            <w:rPr>
              <w:rFonts w:hint="eastAsia" w:ascii="仿宋_GB2312" w:eastAsia="仿宋_GB2312"/>
            </w:rPr>
            <w:fldChar w:fldCharType="end"/>
          </w:r>
        </w:p>
      </w:sdtContent>
    </w:sdt>
    <w:p>
      <w:pPr>
        <w:pStyle w:val="41"/>
        <w:tabs>
          <w:tab w:val="right" w:leader="dot" w:pos="9628"/>
        </w:tabs>
        <w:spacing w:line="360" w:lineRule="exact"/>
      </w:pPr>
    </w:p>
    <w:p>
      <w:pPr>
        <w:pStyle w:val="2"/>
      </w:pPr>
      <w:bookmarkStart w:id="0" w:name="_Toc1573"/>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核酸快速检测系统</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08</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SZZZ2023-QA0171</w:t>
      </w:r>
    </w:p>
    <w:p>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核酸快速检测系统</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40.2</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 xml:space="preserve"> 40</w:t>
      </w:r>
      <w:r>
        <w:rPr>
          <w:rFonts w:hint="eastAsia" w:ascii="宋体" w:hAnsi="宋体" w:eastAsia="宋体"/>
          <w:snapToGrid w:val="0"/>
          <w:color w:val="auto"/>
          <w:sz w:val="21"/>
          <w:szCs w:val="21"/>
          <w:u w:val="single"/>
        </w:rPr>
        <w:t xml:space="preserve"> </w:t>
      </w:r>
      <w:r>
        <w:rPr>
          <w:rFonts w:hint="eastAsia" w:ascii="宋体" w:hAnsi="宋体" w:eastAsia="宋体"/>
          <w:snapToGrid w:val="0"/>
          <w:color w:val="auto"/>
          <w:sz w:val="21"/>
          <w:szCs w:val="21"/>
          <w:u w:val="single"/>
          <w:lang w:val="en-US" w:eastAsia="zh-CN"/>
        </w:rPr>
        <w:t xml:space="preserve"> </w:t>
      </w:r>
      <w:r>
        <w:rPr>
          <w:rFonts w:hint="eastAsia" w:ascii="宋体" w:hAnsi="宋体" w:eastAsia="宋体"/>
          <w:snapToGrid w:val="0"/>
          <w:color w:val="auto"/>
          <w:sz w:val="21"/>
          <w:szCs w:val="21"/>
        </w:rPr>
        <w:t>万元</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5"/>
              <w:spacing w:line="360" w:lineRule="auto"/>
              <w:jc w:val="center"/>
              <w:rPr>
                <w:sz w:val="21"/>
              </w:rPr>
            </w:pPr>
            <w:r>
              <w:rPr>
                <w:sz w:val="21"/>
              </w:rPr>
              <w:t>标的名称</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5"/>
              <w:spacing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eastAsia="zh-CN"/>
              </w:rPr>
              <w:t>核酸快速检测系统</w:t>
            </w:r>
          </w:p>
        </w:tc>
        <w:tc>
          <w:tcPr>
            <w:tcW w:w="850" w:type="dxa"/>
            <w:shd w:val="clear" w:color="auto" w:fill="auto"/>
            <w:vAlign w:val="center"/>
          </w:tcPr>
          <w:p>
            <w:pPr>
              <w:pStyle w:val="45"/>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val="en-US" w:eastAsia="zh-CN"/>
              </w:rPr>
              <w:t>2</w:t>
            </w:r>
          </w:p>
        </w:tc>
        <w:tc>
          <w:tcPr>
            <w:tcW w:w="851" w:type="dxa"/>
            <w:shd w:val="clear" w:color="auto" w:fill="auto"/>
            <w:vAlign w:val="center"/>
          </w:tcPr>
          <w:p>
            <w:pPr>
              <w:pStyle w:val="45"/>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val="en-US" w:eastAsia="zh-CN"/>
              </w:rPr>
              <w:t>套</w:t>
            </w:r>
          </w:p>
        </w:tc>
        <w:tc>
          <w:tcPr>
            <w:tcW w:w="297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4"/>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4"/>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4"/>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4"/>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4"/>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4"/>
        <w:widowControl w:val="0"/>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单位负责人为同一人或者存在直接控股、管理关系的不同供应商，不得参加同一合同项下的政府采购活动，投标人须提供国家企业信用信息公示系统（https://www.gsxt.gov.cn/index.html）或机关赋码和事业单位登记管理网（http://www.gjsy.gov.cn/sydwfrxxcx/）或全国社会组织信用信息公示平台（https://xxgs.chinanpo.mca.gov.cn/gsxt/newList）网站供应商信息查询截图，并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（6）本项目不接受联合体投标，不允许非法分包或转包；</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（7）本项目不接受进口产品参与投标（进口产品是指通过中国海关报关验放进入中国境内且产自关境外的产品，相关内容以“财库【2007】119号文”和“财办库【2008】248号文”的相关规定为准）。</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1</w:t>
      </w:r>
      <w:r>
        <w:rPr>
          <w:rFonts w:hint="eastAsia" w:ascii="宋体" w:hAnsi="宋体" w:eastAsia="宋体"/>
          <w:snapToGrid w:val="0"/>
          <w:color w:val="auto"/>
          <w:sz w:val="21"/>
          <w:szCs w:val="21"/>
        </w:rPr>
        <w:t>）深圳公共资源交易中心网站（www.szzfcg.cn）；</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r>
        <w:rPr>
          <w:rFonts w:hint="eastAsia" w:ascii="宋体" w:hAnsi="宋体" w:eastAsia="宋体"/>
          <w:snapToGrid w:val="0"/>
          <w:color w:val="auto"/>
          <w:sz w:val="21"/>
          <w:szCs w:val="21"/>
        </w:rPr>
        <w:t>）深圳市中正招标网（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名称：深圳市第三人民医院</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地址：深圳市龙岗区布澜路</w:t>
      </w:r>
      <w:r>
        <w:rPr>
          <w:rFonts w:ascii="宋体" w:hAnsi="宋体" w:eastAsia="宋体"/>
          <w:snapToGrid w:val="0"/>
          <w:color w:val="auto"/>
          <w:sz w:val="21"/>
          <w:szCs w:val="21"/>
        </w:rPr>
        <w:t>29</w:t>
      </w:r>
      <w:r>
        <w:rPr>
          <w:rFonts w:hint="eastAsia" w:ascii="宋体" w:hAnsi="宋体" w:eastAsia="宋体"/>
          <w:snapToGrid w:val="0"/>
          <w:color w:val="auto"/>
          <w:sz w:val="21"/>
          <w:szCs w:val="21"/>
        </w:rPr>
        <w:t>号深圳市第三人民医院</w:t>
      </w:r>
    </w:p>
    <w:p>
      <w:pPr>
        <w:pStyle w:val="454"/>
        <w:adjustRightInd w:val="0"/>
        <w:snapToGrid w:val="0"/>
        <w:spacing w:before="0" w:beforeAutospacing="0" w:after="0" w:afterAutospacing="0" w:line="360" w:lineRule="auto"/>
        <w:ind w:left="359" w:leftChars="171" w:firstLine="65" w:firstLineChars="31"/>
        <w:rPr>
          <w:rFonts w:ascii="宋体" w:hAnsi="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胡工，0755-61238991</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eastAsiaTheme="minorEastAsia"/>
          <w:b/>
          <w:kern w:val="44"/>
          <w:szCs w:val="21"/>
        </w:rPr>
      </w:pPr>
      <w:r>
        <w:rPr>
          <w:rFonts w:ascii="宋体" w:hAnsi="宋体"/>
          <w:snapToGrid w:val="0"/>
          <w:kern w:val="0"/>
          <w:sz w:val="24"/>
        </w:rPr>
        <w:t>2023年</w:t>
      </w:r>
      <w:r>
        <w:rPr>
          <w:rFonts w:hint="eastAsia" w:ascii="宋体" w:hAnsi="宋体"/>
          <w:snapToGrid w:val="0"/>
          <w:kern w:val="0"/>
          <w:sz w:val="24"/>
          <w:lang w:val="en-US" w:eastAsia="zh-CN"/>
        </w:rPr>
        <w:t>08</w:t>
      </w:r>
      <w:r>
        <w:rPr>
          <w:rFonts w:ascii="宋体" w:hAnsi="宋体"/>
          <w:snapToGrid w:val="0"/>
          <w:kern w:val="0"/>
          <w:sz w:val="24"/>
        </w:rPr>
        <w:t>月</w:t>
      </w:r>
      <w:r>
        <w:rPr>
          <w:rFonts w:hint="eastAsia" w:ascii="宋体" w:hAnsi="宋体"/>
          <w:snapToGrid w:val="0"/>
          <w:kern w:val="0"/>
          <w:sz w:val="24"/>
          <w:lang w:val="en-US" w:eastAsia="zh-CN"/>
        </w:rPr>
        <w:t>10</w:t>
      </w:r>
      <w:r>
        <w:rPr>
          <w:rFonts w:hint="eastAsia" w:ascii="宋体" w:hAnsi="宋体"/>
          <w:snapToGrid w:val="0"/>
          <w:kern w:val="0"/>
          <w:sz w:val="24"/>
        </w:rPr>
        <w:t>日</w:t>
      </w:r>
      <w:r>
        <w:rPr>
          <w:szCs w:val="21"/>
        </w:rPr>
        <w:br w:type="page"/>
      </w:r>
    </w:p>
    <w:p>
      <w:pPr>
        <w:pStyle w:val="2"/>
        <w:spacing w:line="240" w:lineRule="auto"/>
        <w:rPr>
          <w:sz w:val="21"/>
          <w:szCs w:val="21"/>
        </w:rPr>
      </w:pPr>
    </w:p>
    <w:p>
      <w:pPr>
        <w:pStyle w:val="2"/>
      </w:pPr>
      <w:bookmarkStart w:id="1" w:name="_Toc19468"/>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2010"/>
        <w:gridCol w:w="780"/>
        <w:gridCol w:w="885"/>
        <w:gridCol w:w="144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201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标的名称</w:t>
            </w:r>
          </w:p>
        </w:tc>
        <w:tc>
          <w:tcPr>
            <w:tcW w:w="78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85"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44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500" w:type="dxa"/>
            <w:vAlign w:val="center"/>
          </w:tcPr>
          <w:p>
            <w:pPr>
              <w:widowControl/>
              <w:spacing w:line="360" w:lineRule="auto"/>
              <w:jc w:val="center"/>
              <w:rPr>
                <w:rFonts w:hint="eastAsia" w:ascii="宋体" w:hAnsi="宋体" w:cs="宋体"/>
                <w:b/>
                <w:kern w:val="0"/>
                <w:szCs w:val="21"/>
                <w:lang w:val="en-US" w:eastAsia="zh-CN"/>
              </w:rPr>
            </w:pPr>
            <w:r>
              <w:rPr>
                <w:rFonts w:hint="eastAsia" w:ascii="宋体" w:hAnsi="宋体" w:cs="宋体"/>
                <w:b/>
                <w:kern w:val="0"/>
                <w:szCs w:val="21"/>
                <w:lang w:val="en-US" w:eastAsia="zh-CN"/>
              </w:rPr>
              <w:t>最高限价</w:t>
            </w:r>
          </w:p>
          <w:p>
            <w:pPr>
              <w:widowControl/>
              <w:spacing w:line="360" w:lineRule="auto"/>
              <w:jc w:val="center"/>
              <w:rPr>
                <w:rFonts w:hint="default" w:ascii="宋体" w:hAnsi="宋体" w:eastAsia="宋体" w:cs="宋体"/>
                <w:b/>
                <w:kern w:val="0"/>
                <w:szCs w:val="21"/>
                <w:lang w:val="en-US" w:eastAsia="zh-CN"/>
              </w:rPr>
            </w:pPr>
            <w:r>
              <w:rPr>
                <w:rFonts w:hint="eastAsia" w:ascii="宋体" w:hAnsi="宋体" w:cs="宋体"/>
                <w:b/>
                <w:szCs w:val="21"/>
              </w:rPr>
              <w:t>（人民币元）</w:t>
            </w:r>
          </w:p>
        </w:tc>
        <w:tc>
          <w:tcPr>
            <w:tcW w:w="1500" w:type="dxa"/>
            <w:vAlign w:val="center"/>
          </w:tcPr>
          <w:p>
            <w:pPr>
              <w:widowControl/>
              <w:spacing w:line="360" w:lineRule="auto"/>
              <w:jc w:val="center"/>
              <w:rPr>
                <w:rFonts w:hint="eastAsia"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010"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核酸快速检测系统</w:t>
            </w:r>
          </w:p>
        </w:tc>
        <w:tc>
          <w:tcPr>
            <w:tcW w:w="780" w:type="dxa"/>
            <w:tcMar>
              <w:top w:w="0" w:type="dxa"/>
              <w:left w:w="108" w:type="dxa"/>
              <w:bottom w:w="0" w:type="dxa"/>
              <w:right w:w="108" w:type="dxa"/>
            </w:tcMar>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885" w:type="dxa"/>
            <w:vAlign w:val="center"/>
          </w:tcPr>
          <w:p>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套</w:t>
            </w:r>
          </w:p>
        </w:tc>
        <w:tc>
          <w:tcPr>
            <w:tcW w:w="1440" w:type="dxa"/>
            <w:vAlign w:val="center"/>
          </w:tcPr>
          <w:p>
            <w:pPr>
              <w:jc w:val="center"/>
              <w:rPr>
                <w:rFonts w:ascii="宋体" w:hAnsi="宋体" w:cs="宋体"/>
                <w:bCs/>
                <w:kern w:val="0"/>
                <w:szCs w:val="21"/>
              </w:rPr>
            </w:pPr>
            <w:r>
              <w:rPr>
                <w:rFonts w:hint="eastAsia" w:ascii="宋体" w:hAnsi="宋体" w:cs="宋体"/>
                <w:bCs/>
                <w:kern w:val="0"/>
                <w:szCs w:val="21"/>
                <w:lang w:val="en-US" w:eastAsia="zh-CN"/>
              </w:rPr>
              <w:t>402</w:t>
            </w:r>
            <w:r>
              <w:rPr>
                <w:rFonts w:hint="eastAsia" w:ascii="宋体" w:hAnsi="宋体" w:cs="宋体"/>
                <w:bCs/>
                <w:kern w:val="0"/>
                <w:szCs w:val="21"/>
              </w:rPr>
              <w:t>,000.00</w:t>
            </w:r>
          </w:p>
        </w:tc>
        <w:tc>
          <w:tcPr>
            <w:tcW w:w="1500" w:type="dxa"/>
            <w:vAlign w:val="center"/>
          </w:tcPr>
          <w:p>
            <w:pPr>
              <w:widowControl/>
              <w:spacing w:line="360" w:lineRule="auto"/>
              <w:jc w:val="center"/>
              <w:rPr>
                <w:rFonts w:hint="default" w:ascii="宋体" w:hAnsi="宋体" w:cs="宋体"/>
                <w:kern w:val="0"/>
                <w:szCs w:val="21"/>
                <w:lang w:val="en-US"/>
              </w:rPr>
            </w:pPr>
            <w:r>
              <w:rPr>
                <w:rFonts w:hint="eastAsia" w:ascii="宋体" w:hAnsi="宋体" w:cs="宋体"/>
                <w:kern w:val="0"/>
                <w:szCs w:val="21"/>
                <w:lang w:val="en-US" w:eastAsia="zh-CN"/>
              </w:rPr>
              <w:t>400,000.00</w:t>
            </w:r>
          </w:p>
        </w:tc>
        <w:tc>
          <w:tcPr>
            <w:tcW w:w="1500" w:type="dxa"/>
            <w:vAlign w:val="center"/>
          </w:tcPr>
          <w:p>
            <w:pPr>
              <w:widowControl/>
              <w:spacing w:line="360" w:lineRule="auto"/>
              <w:jc w:val="center"/>
              <w:rPr>
                <w:rFonts w:hint="eastAsia" w:ascii="宋体" w:hAnsi="宋体" w:cs="宋体"/>
                <w:kern w:val="0"/>
                <w:szCs w:val="21"/>
                <w:lang w:val="en-US" w:eastAsia="zh-CN"/>
              </w:rPr>
            </w:pPr>
            <w:r>
              <w:rPr>
                <w:rFonts w:hint="eastAsia" w:ascii="宋体" w:hAnsi="宋体" w:cs="宋体"/>
                <w:kern w:val="0"/>
                <w:szCs w:val="21"/>
                <w:lang w:val="en-US" w:eastAsia="zh-CN"/>
              </w:rPr>
              <w:t>拒绝</w:t>
            </w:r>
            <w:r>
              <w:rPr>
                <w:rFonts w:hint="eastAsia" w:ascii="宋体" w:hAnsi="宋体" w:cs="宋体"/>
                <w:kern w:val="0"/>
                <w:szCs w:val="21"/>
              </w:rPr>
              <w:t>进口</w:t>
            </w:r>
          </w:p>
        </w:tc>
      </w:tr>
    </w:tbl>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eastAsia="宋体"/>
          <w:b/>
          <w:szCs w:val="21"/>
          <w:lang w:val="en-US" w:eastAsia="zh-CN"/>
        </w:rPr>
      </w:pPr>
      <w:r>
        <w:rPr>
          <w:rFonts w:hint="eastAsia" w:ascii="宋体" w:hAnsi="宋体"/>
          <w:b/>
          <w:szCs w:val="21"/>
          <w:highlight w:val="yellow"/>
          <w:lang w:val="en-US" w:eastAsia="zh-CN"/>
        </w:rPr>
        <w:t>备注：投标报价不得超过项目最高限价。</w:t>
      </w:r>
    </w:p>
    <w:p>
      <w:pPr>
        <w:rPr>
          <w:rFonts w:hint="eastAsia" w:ascii="宋体" w:hAnsi="宋体"/>
          <w:b/>
          <w:szCs w:val="21"/>
        </w:rPr>
      </w:pPr>
      <w:r>
        <w:rPr>
          <w:rFonts w:hint="eastAsia" w:ascii="宋体" w:hAnsi="宋体"/>
          <w:b/>
          <w:szCs w:val="21"/>
        </w:rPr>
        <w:br w:type="page"/>
      </w:r>
    </w:p>
    <w:p>
      <w:pPr>
        <w:rPr>
          <w:rFonts w:ascii="宋体" w:hAnsi="宋体"/>
          <w:b/>
          <w:szCs w:val="21"/>
        </w:rPr>
      </w:pPr>
      <w:r>
        <w:rPr>
          <w:rFonts w:hint="eastAsia" w:ascii="宋体" w:hAnsi="宋体"/>
          <w:b/>
          <w:szCs w:val="21"/>
        </w:rPr>
        <w:t>（二）货物清单明细</w:t>
      </w:r>
    </w:p>
    <w:tbl>
      <w:tblPr>
        <w:tblStyle w:val="50"/>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611"/>
        <w:gridCol w:w="113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Align w:val="center"/>
          </w:tcPr>
          <w:p>
            <w:pPr>
              <w:jc w:val="center"/>
              <w:rPr>
                <w:rFonts w:ascii="宋体" w:hAnsi="宋体" w:cs="宋体"/>
                <w:b/>
                <w:szCs w:val="21"/>
              </w:rPr>
            </w:pPr>
            <w:r>
              <w:rPr>
                <w:rFonts w:hint="eastAsia" w:ascii="宋体" w:hAnsi="宋体" w:cs="宋体"/>
                <w:b/>
                <w:szCs w:val="21"/>
              </w:rPr>
              <w:t>序号</w:t>
            </w:r>
          </w:p>
        </w:tc>
        <w:tc>
          <w:tcPr>
            <w:tcW w:w="5611" w:type="dxa"/>
            <w:vAlign w:val="center"/>
          </w:tcPr>
          <w:p>
            <w:pPr>
              <w:jc w:val="center"/>
              <w:rPr>
                <w:rFonts w:ascii="宋体" w:hAnsi="宋体" w:cs="宋体"/>
                <w:b/>
                <w:szCs w:val="21"/>
              </w:rPr>
            </w:pPr>
            <w:r>
              <w:rPr>
                <w:rFonts w:hint="eastAsia" w:ascii="宋体" w:hAnsi="宋体" w:cs="宋体"/>
                <w:b/>
                <w:szCs w:val="21"/>
              </w:rPr>
              <w:t>货物名称</w:t>
            </w:r>
          </w:p>
        </w:tc>
        <w:tc>
          <w:tcPr>
            <w:tcW w:w="1135" w:type="dxa"/>
            <w:vAlign w:val="center"/>
          </w:tcPr>
          <w:p>
            <w:pPr>
              <w:jc w:val="center"/>
              <w:rPr>
                <w:rFonts w:ascii="宋体" w:hAnsi="宋体" w:cs="宋体"/>
                <w:b/>
                <w:szCs w:val="21"/>
              </w:rPr>
            </w:pPr>
            <w:r>
              <w:rPr>
                <w:rFonts w:hint="eastAsia" w:ascii="宋体" w:hAnsi="宋体" w:cs="宋体"/>
                <w:b/>
                <w:szCs w:val="21"/>
              </w:rPr>
              <w:t>数量</w:t>
            </w:r>
          </w:p>
        </w:tc>
        <w:tc>
          <w:tcPr>
            <w:tcW w:w="1161" w:type="dxa"/>
            <w:vAlign w:val="center"/>
          </w:tcPr>
          <w:p>
            <w:pPr>
              <w:jc w:val="center"/>
              <w:rPr>
                <w:rFonts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561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核酸快速检测系统</w:t>
            </w:r>
          </w:p>
        </w:tc>
        <w:tc>
          <w:tcPr>
            <w:tcW w:w="1135" w:type="dxa"/>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p>
        </w:tc>
        <w:tc>
          <w:tcPr>
            <w:tcW w:w="1161" w:type="dxa"/>
            <w:vAlign w:val="center"/>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套</w:t>
            </w:r>
          </w:p>
        </w:tc>
      </w:tr>
    </w:tbl>
    <w:p>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highlight w:val="yellow"/>
        </w:rPr>
      </w:pPr>
      <w:r>
        <w:rPr>
          <w:rFonts w:hint="eastAsia" w:ascii="宋体" w:hAnsi="宋体" w:eastAsia="宋体" w:cs="Times New Roman"/>
          <w:b/>
          <w:bCs/>
          <w:color w:val="auto"/>
          <w:kern w:val="2"/>
          <w:sz w:val="21"/>
          <w:szCs w:val="21"/>
          <w:highlight w:val="yellow"/>
        </w:rPr>
        <w:t>注：</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szCs w:val="21"/>
          <w:highlight w:val="yellow"/>
          <w:lang w:eastAsia="zh-CN"/>
        </w:rPr>
        <w:t>（</w:t>
      </w:r>
      <w:r>
        <w:rPr>
          <w:rFonts w:hint="eastAsia" w:ascii="宋体" w:hAnsi="宋体"/>
          <w:szCs w:val="21"/>
          <w:highlight w:val="yellow"/>
          <w:lang w:val="en-US" w:eastAsia="zh-CN"/>
        </w:rPr>
        <w:t>1</w:t>
      </w:r>
      <w:r>
        <w:rPr>
          <w:rFonts w:hint="eastAsia" w:ascii="宋体" w:hAnsi="宋体"/>
          <w:szCs w:val="21"/>
          <w:highlight w:val="yellow"/>
          <w:lang w:eastAsia="zh-CN"/>
        </w:rPr>
        <w:t>）</w:t>
      </w:r>
      <w:r>
        <w:rPr>
          <w:rFonts w:hint="eastAsia" w:ascii="宋体" w:hAnsi="宋体"/>
          <w:szCs w:val="21"/>
          <w:highlight w:val="yellow"/>
        </w:rPr>
        <w:t>如同时有两家或两家以上（均为制造商的合法代理商）通过资格审查及符合性审查的合格投标人</w:t>
      </w:r>
      <w:r>
        <w:rPr>
          <w:rFonts w:hint="eastAsia" w:ascii="宋体" w:hAnsi="宋体"/>
          <w:b/>
          <w:szCs w:val="21"/>
          <w:highlight w:val="yellow"/>
        </w:rPr>
        <w:t>所投产品为相同品牌的，按一家投标人计算</w:t>
      </w:r>
      <w:r>
        <w:rPr>
          <w:rFonts w:hint="eastAsia" w:ascii="宋体" w:hAnsi="宋体"/>
          <w:szCs w:val="21"/>
          <w:highlight w:val="yellow"/>
        </w:rPr>
        <w:t>。在此种情况下，评审后得分最高的投标人获得中标人推荐资格；评审得分相同的由报价相对最低的获得中标人推荐资格；评审得分及报价均相同的由技术评分相对最高的获得中标人推荐资格；以上均相同的由评标委员会采取随机抽取方式确定，其他同品牌投标人不作为中标候选人。</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adjustRightInd w:val="0"/>
        <w:snapToGrid w:val="0"/>
        <w:spacing w:line="360" w:lineRule="auto"/>
        <w:ind w:firstLine="422" w:firstLineChars="201"/>
        <w:rPr>
          <w:rFonts w:ascii="宋体" w:hAnsi="宋体"/>
          <w:b/>
          <w:bCs/>
          <w:snapToGrid w:val="0"/>
          <w:kern w:val="0"/>
          <w:sz w:val="24"/>
        </w:rPr>
      </w:pPr>
      <w:r>
        <w:rPr>
          <w:rFonts w:hint="eastAsia" w:ascii="宋体" w:hAnsi="宋体"/>
          <w:bCs/>
          <w:snapToGrid w:val="0"/>
          <w:kern w:val="0"/>
          <w:szCs w:val="21"/>
        </w:rPr>
        <w:tab/>
      </w:r>
    </w:p>
    <w:p>
      <w:pPr>
        <w:rPr>
          <w:rFonts w:ascii="宋体" w:hAnsi="宋体"/>
          <w:b/>
          <w:bCs/>
          <w:snapToGrid w:val="0"/>
          <w:kern w:val="0"/>
          <w:sz w:val="24"/>
        </w:rPr>
      </w:pPr>
      <w:r>
        <w:rPr>
          <w:rFonts w:hint="eastAsia" w:ascii="宋体" w:hAnsi="宋体"/>
          <w:b/>
          <w:bCs/>
          <w:snapToGrid w:val="0"/>
          <w:kern w:val="0"/>
          <w:sz w:val="24"/>
        </w:rPr>
        <w:br w:type="page"/>
      </w: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9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417"/>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货物名称</w:t>
            </w:r>
          </w:p>
        </w:tc>
        <w:tc>
          <w:tcPr>
            <w:tcW w:w="7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FF0000"/>
                <w:kern w:val="0"/>
                <w:szCs w:val="21"/>
              </w:rPr>
            </w:pPr>
            <w:r>
              <w:rPr>
                <w:rFonts w:hint="eastAsia" w:ascii="宋体" w:hAnsi="宋体" w:cs="宋体"/>
                <w:kern w:val="0"/>
                <w:szCs w:val="21"/>
              </w:rPr>
              <w:t>1</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Cs w:val="21"/>
                <w:lang w:eastAsia="zh-CN"/>
              </w:rPr>
            </w:pPr>
            <w:r>
              <w:rPr>
                <w:rFonts w:hint="eastAsia" w:ascii="宋体" w:hAnsi="宋体" w:cs="宋体"/>
                <w:kern w:val="0"/>
                <w:szCs w:val="21"/>
                <w:lang w:eastAsia="zh-CN"/>
              </w:rPr>
              <w:t>核酸快速检测系统</w:t>
            </w: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val="en-US" w:eastAsia="zh-CN"/>
              </w:rPr>
              <w:t>1.1系统属性：国产。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right="-58"/>
              <w:rPr>
                <w:rFonts w:hint="default" w:ascii="宋体" w:hAnsi="宋体" w:eastAsia="宋体" w:cs="宋体"/>
                <w:szCs w:val="21"/>
                <w:lang w:val="en-US" w:eastAsia="zh-CN"/>
              </w:rPr>
            </w:pPr>
            <w:r>
              <w:rPr>
                <w:rFonts w:hint="eastAsia" w:ascii="宋体" w:hAnsi="宋体" w:cs="宋体"/>
                <w:szCs w:val="21"/>
                <w:lang w:val="en-US" w:eastAsia="zh-CN"/>
              </w:rPr>
              <w:t>1.2系统原理：基于三段式磁导提取技术、荧光聚合酶链反应原理。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1.3系统用途：用于对来源于人体样本中的新型冠状病毒核酸进行定性检测，同时检测ORF1ab基因和N基因。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▲1.4检测通道：含4个以上独立检测模块，可实现不同病原体核酸的检测在同一台仪器内同时进行，即：可同时进行不同项目的检测。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1.5系统整合了核酸检测所需的所有步骤，在一个独立检测管中，可自动完成样本核酸的提取、扩增和荧光检测全过程。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1.6系统在密闭检测管中自动完成样本提取、纯化、扩增和检测，因此无需在检测过程中开盖、液体转移，实现单个样本独立自动化检测；这样的密闭检测管检测方式使得样本之间的交叉污染概率最小化，提高了检测结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lang w:val="en-US" w:eastAsia="zh-CN"/>
              </w:rPr>
              <w:t>▲1.7核酸提取方式：离心柱或磁珠法提取。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1.8系统灵敏度大于98%，特异度大于95%。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1.9试剂预混装，无需人工配置扩增反应液。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1.10数据分析：系统仪器可实时采集荧光信号并自动生成实时荧光曲线，通过对荧光信号变化的分析实现自动判定并报告检测结果。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▲1.11检测模块：独立模块，可实现来样即测，模块相互之间独立检测。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1.12可通过二维码扫描直接录入样本信息。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val="en-US" w:eastAsia="zh-CN"/>
              </w:rPr>
              <w:t>▲1.13配套试剂盒可实现7天内常温运输，于2℃~8℃保存。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FF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c>
          <w:tcPr>
            <w:tcW w:w="76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zCs w:val="21"/>
                <w:lang w:val="en-US" w:eastAsia="zh-CN"/>
              </w:rPr>
            </w:pPr>
            <w:r>
              <w:rPr>
                <w:rFonts w:hint="eastAsia" w:ascii="宋体" w:hAnsi="宋体" w:cs="宋体"/>
                <w:szCs w:val="21"/>
                <w:lang w:val="en-US" w:eastAsia="zh-CN"/>
              </w:rPr>
              <w:t>1.14系统处理单元参数：</w:t>
            </w:r>
          </w:p>
          <w:p>
            <w:pPr>
              <w:spacing w:line="360" w:lineRule="auto"/>
              <w:rPr>
                <w:rFonts w:hint="eastAsia" w:ascii="宋体" w:hAnsi="宋体" w:cs="宋体"/>
                <w:szCs w:val="21"/>
                <w:lang w:val="en-US" w:eastAsia="zh-CN"/>
              </w:rPr>
            </w:pPr>
            <w:r>
              <w:rPr>
                <w:rFonts w:hint="eastAsia" w:ascii="宋体" w:hAnsi="宋体" w:eastAsia="宋体" w:cs="宋体"/>
                <w:szCs w:val="21"/>
                <w:lang w:val="en-US" w:eastAsia="zh-CN"/>
              </w:rPr>
              <w:t>①</w:t>
            </w:r>
            <w:r>
              <w:rPr>
                <w:rFonts w:hint="eastAsia" w:ascii="宋体" w:hAnsi="宋体" w:cs="宋体"/>
                <w:szCs w:val="21"/>
                <w:lang w:val="en-US" w:eastAsia="zh-CN"/>
              </w:rPr>
              <w:t xml:space="preserve"> </w:t>
            </w:r>
            <w:r>
              <w:rPr>
                <w:rFonts w:hint="eastAsia" w:ascii="宋体" w:hAnsi="宋体" w:eastAsia="宋体" w:cs="宋体"/>
                <w:szCs w:val="21"/>
                <w:lang w:val="en-US" w:eastAsia="zh-CN"/>
              </w:rPr>
              <w:t>可控温度范围：40℃~95℃，控温精度：≤0.5℃</w:t>
            </w:r>
            <w:r>
              <w:rPr>
                <w:rFonts w:hint="eastAsia" w:ascii="宋体" w:hAnsi="宋体" w:cs="宋体"/>
                <w:szCs w:val="21"/>
                <w:lang w:val="en-US" w:eastAsia="zh-CN"/>
              </w:rPr>
              <w:t>。</w:t>
            </w:r>
          </w:p>
          <w:p>
            <w:pPr>
              <w:spacing w:line="360" w:lineRule="auto"/>
              <w:rPr>
                <w:rFonts w:hint="default" w:ascii="宋体" w:hAnsi="宋体" w:cs="宋体"/>
                <w:szCs w:val="21"/>
                <w:lang w:val="en-US" w:eastAsia="zh-CN"/>
              </w:rPr>
            </w:pPr>
            <w:r>
              <w:rPr>
                <w:rFonts w:hint="eastAsia" w:ascii="宋体" w:hAnsi="宋体" w:eastAsia="宋体" w:cs="宋体"/>
                <w:szCs w:val="21"/>
                <w:lang w:val="en-US" w:eastAsia="zh-CN"/>
              </w:rPr>
              <w:t>②</w:t>
            </w:r>
            <w:r>
              <w:rPr>
                <w:rFonts w:hint="eastAsia" w:ascii="宋体" w:hAnsi="宋体" w:cs="宋体"/>
                <w:szCs w:val="21"/>
                <w:lang w:val="en-US" w:eastAsia="zh-CN"/>
              </w:rPr>
              <w:t xml:space="preserve"> 熔解加热速率：0.1~1℃/s。</w:t>
            </w:r>
          </w:p>
          <w:p>
            <w:pPr>
              <w:spacing w:line="360" w:lineRule="auto"/>
              <w:rPr>
                <w:rFonts w:hint="eastAsia" w:ascii="宋体" w:hAnsi="宋体" w:cs="宋体"/>
                <w:szCs w:val="21"/>
                <w:lang w:val="en-US" w:eastAsia="zh-CN"/>
              </w:rPr>
            </w:pPr>
            <w:r>
              <w:rPr>
                <w:rFonts w:hint="eastAsia" w:ascii="宋体" w:hAnsi="宋体" w:eastAsia="宋体" w:cs="宋体"/>
                <w:szCs w:val="21"/>
                <w:lang w:val="en-US" w:eastAsia="zh-CN"/>
              </w:rPr>
              <w:t>③</w:t>
            </w:r>
            <w:r>
              <w:rPr>
                <w:rFonts w:hint="eastAsia" w:ascii="宋体" w:hAnsi="宋体" w:cs="宋体"/>
                <w:szCs w:val="21"/>
                <w:lang w:val="en-US" w:eastAsia="zh-CN"/>
              </w:rPr>
              <w:t xml:space="preserve"> </w:t>
            </w:r>
            <w:r>
              <w:rPr>
                <w:rFonts w:hint="eastAsia" w:ascii="宋体" w:hAnsi="宋体" w:eastAsia="宋体" w:cs="宋体"/>
                <w:szCs w:val="21"/>
                <w:lang w:val="en-US" w:eastAsia="zh-CN"/>
              </w:rPr>
              <w:t>荧光强度检测重复性：CV值&lt;3</w:t>
            </w:r>
            <w:r>
              <w:rPr>
                <w:rFonts w:hint="eastAsia" w:ascii="宋体" w:hAnsi="宋体" w:cs="宋体"/>
                <w:szCs w:val="21"/>
                <w:lang w:val="en-US" w:eastAsia="zh-CN"/>
              </w:rPr>
              <w:t>%。</w:t>
            </w:r>
          </w:p>
          <w:p>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④</w:t>
            </w:r>
            <w:r>
              <w:rPr>
                <w:rFonts w:hint="eastAsia" w:ascii="宋体" w:hAnsi="宋体" w:cs="宋体"/>
                <w:szCs w:val="21"/>
                <w:lang w:val="en-US" w:eastAsia="zh-CN"/>
              </w:rPr>
              <w:t xml:space="preserve"> 荧光强度检测精密度：CV值&lt;5%。</w:t>
            </w:r>
          </w:p>
        </w:tc>
      </w:tr>
    </w:tbl>
    <w:p>
      <w:pPr>
        <w:spacing w:line="360" w:lineRule="auto"/>
        <w:rPr>
          <w:rFonts w:ascii="宋体" w:hAnsi="宋体"/>
          <w:b/>
          <w:bCs/>
          <w:snapToGrid w:val="0"/>
          <w:kern w:val="0"/>
          <w:sz w:val="24"/>
        </w:rPr>
      </w:pPr>
      <w:r>
        <w:rPr>
          <w:rFonts w:hint="eastAsia" w:ascii="宋体" w:hAnsi="宋体"/>
          <w:b/>
          <w:bCs/>
          <w:snapToGrid w:val="0"/>
          <w:color w:val="FF0000"/>
          <w:kern w:val="0"/>
          <w:szCs w:val="21"/>
          <w:highlight w:val="yellow"/>
        </w:rPr>
        <w:t>备注：</w:t>
      </w:r>
      <w:r>
        <w:rPr>
          <w:rFonts w:hint="eastAsia" w:ascii="宋体" w:hAnsi="宋体"/>
          <w:snapToGrid w:val="0"/>
          <w:kern w:val="0"/>
          <w:szCs w:val="21"/>
          <w:highlight w:val="yellow"/>
        </w:rPr>
        <w:t>以上技术参数加注“▲”的条款要求为重要技术参数，均须要提供产品原厂说明书或产品彩页相关证明材料进行佐证，如未提供佐证材料将按负偏离进行扣分。</w:t>
      </w:r>
    </w:p>
    <w:p>
      <w:pPr>
        <w:rPr>
          <w:rFonts w:hint="eastAsia" w:ascii="宋体" w:hAnsi="宋体"/>
          <w:b/>
          <w:bCs/>
          <w:snapToGrid w:val="0"/>
          <w:kern w:val="0"/>
          <w:sz w:val="24"/>
        </w:rPr>
      </w:pPr>
      <w:r>
        <w:rPr>
          <w:rFonts w:hint="eastAsia" w:ascii="宋体" w:hAnsi="宋体"/>
          <w:b/>
          <w:bCs/>
          <w:snapToGrid w:val="0"/>
          <w:kern w:val="0"/>
          <w:sz w:val="24"/>
        </w:rPr>
        <w:br w:type="page"/>
      </w: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ascii="宋体" w:hAnsi="宋体" w:cs="宋体"/>
                <w:b/>
                <w:szCs w:val="21"/>
              </w:rPr>
            </w:pPr>
            <w:r>
              <w:rPr>
                <w:rFonts w:hint="eastAsia" w:ascii="宋体" w:hAnsi="宋体" w:cs="宋体"/>
                <w:b/>
                <w:szCs w:val="21"/>
              </w:rPr>
              <w:t>序 号</w:t>
            </w:r>
          </w:p>
        </w:tc>
        <w:tc>
          <w:tcPr>
            <w:tcW w:w="1620" w:type="dxa"/>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7110" w:type="dxa"/>
            <w:vAlign w:val="center"/>
          </w:tcPr>
          <w:p>
            <w:pPr>
              <w:spacing w:line="360" w:lineRule="auto"/>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0" w:type="dxa"/>
            <w:gridSpan w:val="3"/>
            <w:vAlign w:val="center"/>
          </w:tcPr>
          <w:p>
            <w:pPr>
              <w:spacing w:line="360" w:lineRule="auto"/>
              <w:rPr>
                <w:rFonts w:ascii="宋体" w:hAnsi="宋体" w:cs="宋体"/>
                <w:b/>
                <w:szCs w:val="21"/>
              </w:rPr>
            </w:pPr>
            <w:r>
              <w:rPr>
                <w:rFonts w:hint="eastAsia" w:ascii="宋体" w:hAnsi="宋体" w:cs="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620" w:type="dxa"/>
            <w:vMerge w:val="restart"/>
            <w:vAlign w:val="center"/>
          </w:tcPr>
          <w:p>
            <w:pPr>
              <w:spacing w:line="360" w:lineRule="auto"/>
              <w:rPr>
                <w:rFonts w:ascii="宋体" w:hAnsi="宋体" w:cs="宋体"/>
                <w:szCs w:val="21"/>
              </w:rPr>
            </w:pPr>
            <w:r>
              <w:rPr>
                <w:rFonts w:hint="eastAsia" w:ascii="宋体" w:hAnsi="宋体" w:cs="宋体"/>
                <w:b/>
                <w:kern w:val="0"/>
                <w:szCs w:val="21"/>
              </w:rPr>
              <w:t>维修及维护服务</w:t>
            </w:r>
          </w:p>
        </w:tc>
        <w:tc>
          <w:tcPr>
            <w:tcW w:w="7110" w:type="dxa"/>
          </w:tcPr>
          <w:p>
            <w:pPr>
              <w:spacing w:line="360" w:lineRule="auto"/>
              <w:rPr>
                <w:rFonts w:ascii="宋体" w:hAnsi="宋体" w:cs="宋体"/>
                <w:b/>
                <w:color w:val="000000"/>
                <w:szCs w:val="21"/>
              </w:rPr>
            </w:pPr>
            <w:r>
              <w:rPr>
                <w:rFonts w:hint="eastAsia" w:ascii="宋体" w:hAnsi="宋体" w:cs="宋体"/>
                <w:b/>
                <w:bCs/>
                <w:color w:val="000000"/>
                <w:kern w:val="0"/>
                <w:szCs w:val="21"/>
                <w:highlight w:val="yellow"/>
              </w:rPr>
              <w:t>★1.1各投标人应在投标文件中列明各主机、配件和易耗品的保修期限，并承诺提供整机免费保修期</w:t>
            </w:r>
            <w:r>
              <w:rPr>
                <w:rFonts w:hint="eastAsia" w:ascii="宋体" w:hAnsi="宋体" w:cs="宋体"/>
                <w:b/>
                <w:bCs/>
                <w:color w:val="000000"/>
                <w:kern w:val="0"/>
                <w:szCs w:val="21"/>
                <w:highlight w:val="yellow"/>
                <w:u w:val="single"/>
              </w:rPr>
              <w:t xml:space="preserve"> 3 </w:t>
            </w:r>
            <w:r>
              <w:rPr>
                <w:rFonts w:hint="eastAsia" w:ascii="宋体" w:hAnsi="宋体" w:cs="宋体"/>
                <w:b/>
                <w:bCs/>
                <w:color w:val="000000"/>
                <w:kern w:val="0"/>
                <w:szCs w:val="21"/>
                <w:highlight w:val="yellow"/>
              </w:rPr>
              <w:t>年,终身维修</w:t>
            </w:r>
            <w:r>
              <w:rPr>
                <w:rFonts w:hint="eastAsia" w:ascii="宋体" w:hAnsi="宋体" w:cs="宋体"/>
                <w:b/>
                <w:bCs/>
                <w:color w:val="000000"/>
                <w:kern w:val="0"/>
                <w:szCs w:val="21"/>
                <w:highlight w:val="yellow"/>
                <w:lang w:eastAsia="zh-CN"/>
              </w:rPr>
              <w:t>，</w:t>
            </w:r>
            <w:r>
              <w:rPr>
                <w:rFonts w:hint="eastAsia" w:ascii="宋体" w:hAnsi="宋体" w:cs="宋体"/>
                <w:b/>
                <w:bCs/>
                <w:color w:val="000000"/>
                <w:kern w:val="0"/>
                <w:szCs w:val="21"/>
                <w:highlight w:val="yellow"/>
              </w:rPr>
              <w:t>时间自验收合格之日起</w:t>
            </w:r>
            <w:r>
              <w:rPr>
                <w:rFonts w:hint="eastAsia" w:ascii="宋体" w:hAnsi="宋体" w:cs="宋体"/>
                <w:b/>
                <w:bCs/>
                <w:color w:val="000000"/>
                <w:kern w:val="0"/>
                <w:szCs w:val="21"/>
                <w:highlight w:val="yellow"/>
                <w:lang w:val="en-US" w:eastAsia="zh-CN"/>
              </w:rPr>
              <w:t>计</w:t>
            </w:r>
            <w:r>
              <w:rPr>
                <w:rFonts w:hint="eastAsia" w:ascii="宋体" w:hAnsi="宋体" w:cs="宋体"/>
                <w:b/>
                <w:bCs/>
                <w:color w:val="000000"/>
                <w:kern w:val="0"/>
                <w:szCs w:val="21"/>
                <w:highlight w:val="yellow"/>
              </w:rPr>
              <w:t>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rPr>
                <w:rFonts w:ascii="宋体" w:hAnsi="宋体" w:cs="宋体"/>
                <w:b/>
                <w:kern w:val="0"/>
                <w:szCs w:val="21"/>
              </w:rPr>
            </w:pPr>
          </w:p>
        </w:tc>
        <w:tc>
          <w:tcPr>
            <w:tcW w:w="7110" w:type="dxa"/>
          </w:tcPr>
          <w:p>
            <w:pPr>
              <w:spacing w:line="360" w:lineRule="auto"/>
              <w:rPr>
                <w:rFonts w:ascii="宋体" w:hAnsi="宋体" w:cs="宋体"/>
                <w:color w:val="000000"/>
                <w:kern w:val="0"/>
                <w:szCs w:val="21"/>
              </w:rPr>
            </w:pPr>
            <w:r>
              <w:rPr>
                <w:rFonts w:hint="eastAsia" w:ascii="宋体" w:hAnsi="宋体" w:cs="宋体"/>
                <w:color w:val="000000"/>
                <w:kern w:val="0"/>
                <w:szCs w:val="21"/>
              </w:rPr>
              <w:t>1.2保修期内,年度定期预防性维护保养次数应不少于</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u w:val="single"/>
                <w:lang w:val="en-US" w:eastAsia="zh-CN"/>
              </w:rPr>
              <w:t>4</w:t>
            </w:r>
            <w:r>
              <w:rPr>
                <w:rFonts w:hint="eastAsia" w:ascii="宋体" w:hAnsi="宋体" w:cs="宋体"/>
                <w:bCs/>
                <w:color w:val="000000"/>
                <w:kern w:val="0"/>
                <w:szCs w:val="21"/>
                <w:u w:val="single"/>
              </w:rPr>
              <w:t xml:space="preserve"> </w:t>
            </w:r>
            <w:r>
              <w:rPr>
                <w:rFonts w:hint="eastAsia" w:ascii="宋体" w:hAnsi="宋体" w:cs="宋体"/>
                <w:color w:val="000000"/>
                <w:kern w:val="0"/>
                <w:szCs w:val="21"/>
              </w:rPr>
              <w:t>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rPr>
                <w:rFonts w:ascii="宋体" w:hAnsi="宋体" w:cs="宋体"/>
                <w:b/>
                <w:kern w:val="0"/>
                <w:szCs w:val="21"/>
              </w:rPr>
            </w:pPr>
          </w:p>
        </w:tc>
        <w:tc>
          <w:tcPr>
            <w:tcW w:w="7110" w:type="dxa"/>
          </w:tcPr>
          <w:p>
            <w:pPr>
              <w:spacing w:line="360" w:lineRule="auto"/>
              <w:rPr>
                <w:rFonts w:ascii="宋体" w:hAnsi="宋体" w:cs="宋体"/>
                <w:bCs/>
                <w:color w:val="000000"/>
                <w:szCs w:val="21"/>
              </w:rPr>
            </w:pPr>
            <w:r>
              <w:rPr>
                <w:rFonts w:hint="eastAsia" w:ascii="宋体" w:hAnsi="宋体" w:cs="宋体"/>
                <w:color w:val="000000"/>
                <w:kern w:val="0"/>
                <w:szCs w:val="21"/>
              </w:rPr>
              <w:t>1.3深圳设有售后服务机构或制造商办事处；由设备制造商提供售后服务，</w:t>
            </w:r>
            <w:r>
              <w:rPr>
                <w:rFonts w:hint="eastAsia" w:ascii="宋体" w:hAnsi="宋体" w:cs="宋体"/>
                <w:bCs/>
                <w:color w:val="000000"/>
                <w:kern w:val="0"/>
                <w:szCs w:val="21"/>
                <w:u w:val="single"/>
              </w:rPr>
              <w:t xml:space="preserve"> 2 </w:t>
            </w:r>
            <w:r>
              <w:rPr>
                <w:rFonts w:hint="eastAsia" w:ascii="宋体" w:hAnsi="宋体" w:cs="宋体"/>
                <w:color w:val="000000"/>
                <w:kern w:val="0"/>
                <w:szCs w:val="21"/>
              </w:rPr>
              <w:t>小时内响应，</w:t>
            </w:r>
            <w:r>
              <w:rPr>
                <w:rFonts w:hint="eastAsia" w:ascii="宋体" w:hAnsi="宋体" w:cs="宋体"/>
                <w:bCs/>
                <w:color w:val="000000"/>
                <w:kern w:val="0"/>
                <w:szCs w:val="21"/>
                <w:u w:val="single"/>
              </w:rPr>
              <w:t xml:space="preserve"> 24 </w:t>
            </w:r>
            <w:r>
              <w:rPr>
                <w:rFonts w:hint="eastAsia" w:ascii="宋体" w:hAnsi="宋体" w:cs="宋体"/>
                <w:color w:val="000000"/>
                <w:kern w:val="0"/>
                <w:szCs w:val="21"/>
              </w:rPr>
              <w:t>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rPr>
                <w:rFonts w:ascii="宋体" w:hAnsi="宋体" w:cs="宋体"/>
                <w:b/>
                <w:kern w:val="0"/>
                <w:szCs w:val="21"/>
              </w:rPr>
            </w:pPr>
          </w:p>
        </w:tc>
        <w:tc>
          <w:tcPr>
            <w:tcW w:w="7110" w:type="dxa"/>
          </w:tcPr>
          <w:p>
            <w:pPr>
              <w:spacing w:line="360" w:lineRule="auto"/>
              <w:rPr>
                <w:rFonts w:hint="eastAsia" w:ascii="宋体" w:hAnsi="宋体" w:cs="宋体"/>
                <w:color w:val="000000"/>
                <w:kern w:val="0"/>
                <w:szCs w:val="21"/>
              </w:rPr>
            </w:pPr>
            <w:r>
              <w:rPr>
                <w:rFonts w:hint="eastAsia" w:ascii="宋体" w:hAnsi="宋体" w:cs="宋体"/>
                <w:color w:val="000000"/>
                <w:kern w:val="0"/>
                <w:szCs w:val="21"/>
              </w:rPr>
              <w:t>1.4投标人负责货物的终身维修，保证</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u w:val="single"/>
                <w:lang w:val="en-US" w:eastAsia="zh-CN"/>
              </w:rPr>
              <w:t>5</w:t>
            </w:r>
            <w:r>
              <w:rPr>
                <w:rFonts w:hint="eastAsia" w:ascii="宋体" w:hAnsi="宋体" w:cs="宋体"/>
                <w:bCs/>
                <w:color w:val="000000"/>
                <w:kern w:val="0"/>
                <w:szCs w:val="21"/>
                <w:u w:val="single"/>
              </w:rPr>
              <w:t xml:space="preserve"> </w:t>
            </w:r>
            <w:r>
              <w:rPr>
                <w:rFonts w:hint="eastAsia" w:ascii="宋体" w:hAnsi="宋体" w:cs="宋体"/>
                <w:color w:val="000000"/>
                <w:kern w:val="0"/>
                <w:szCs w:val="21"/>
              </w:rPr>
              <w:t>年以上供应维修配件，</w:t>
            </w:r>
            <w:r>
              <w:rPr>
                <w:rFonts w:hint="eastAsia" w:ascii="宋体" w:hAnsi="宋体" w:cs="宋体"/>
                <w:bCs/>
                <w:color w:val="000000"/>
                <w:kern w:val="0"/>
                <w:szCs w:val="21"/>
                <w:u w:val="single"/>
              </w:rPr>
              <w:t xml:space="preserve"> 5 </w:t>
            </w:r>
            <w:r>
              <w:rPr>
                <w:rFonts w:hint="eastAsia" w:ascii="宋体" w:hAnsi="宋体" w:cs="宋体"/>
                <w:color w:val="000000"/>
                <w:kern w:val="0"/>
                <w:szCs w:val="21"/>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rPr>
                <w:rFonts w:ascii="宋体" w:hAnsi="宋体" w:cs="宋体"/>
                <w:b/>
                <w:kern w:val="0"/>
                <w:szCs w:val="21"/>
              </w:rPr>
            </w:pPr>
          </w:p>
        </w:tc>
        <w:tc>
          <w:tcPr>
            <w:tcW w:w="7110" w:type="dxa"/>
          </w:tcPr>
          <w:p>
            <w:pPr>
              <w:spacing w:line="360" w:lineRule="auto"/>
              <w:rPr>
                <w:rFonts w:hint="default" w:ascii="宋体" w:hAnsi="宋体" w:eastAsia="宋体" w:cs="宋体"/>
                <w:color w:val="000000"/>
                <w:kern w:val="0"/>
                <w:szCs w:val="21"/>
                <w:lang w:val="en-US" w:eastAsia="zh-CN"/>
              </w:rPr>
            </w:pPr>
            <w:r>
              <w:rPr>
                <w:rFonts w:hint="eastAsia" w:ascii="宋体" w:hAnsi="宋体" w:cs="宋体"/>
                <w:b/>
                <w:bCs/>
                <w:color w:val="000000"/>
                <w:kern w:val="0"/>
                <w:szCs w:val="21"/>
                <w:lang w:val="en-US" w:eastAsia="zh-CN"/>
              </w:rPr>
              <w:t>▲1.5投标人提供的仪器设备的设计使用年限必须≥5年。</w:t>
            </w:r>
            <w:r>
              <w:rPr>
                <w:rFonts w:hint="eastAsia" w:ascii="宋体" w:hAnsi="宋体" w:cs="宋体"/>
                <w:b/>
                <w:bCs/>
                <w:color w:val="FF0000"/>
                <w:kern w:val="0"/>
                <w:szCs w:val="21"/>
                <w:lang w:val="en-US" w:eastAsia="zh-CN"/>
              </w:rPr>
              <w:t>【设计年限需提供相关证明材料进行佐证】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rPr>
                <w:rFonts w:ascii="宋体" w:hAnsi="宋体" w:cs="宋体"/>
                <w:b/>
                <w:kern w:val="0"/>
                <w:szCs w:val="21"/>
              </w:rPr>
            </w:pPr>
          </w:p>
        </w:tc>
        <w:tc>
          <w:tcPr>
            <w:tcW w:w="7110" w:type="dxa"/>
          </w:tcPr>
          <w:p>
            <w:pPr>
              <w:spacing w:line="360" w:lineRule="auto"/>
              <w:rPr>
                <w:rFonts w:hint="default" w:ascii="宋体" w:hAnsi="宋体" w:eastAsia="宋体" w:cs="宋体"/>
                <w:bCs/>
                <w:color w:val="000000"/>
                <w:szCs w:val="21"/>
                <w:lang w:val="en-US" w:eastAsia="zh-CN"/>
              </w:rPr>
            </w:pPr>
            <w:r>
              <w:rPr>
                <w:rFonts w:hint="eastAsia" w:ascii="宋体" w:hAnsi="宋体" w:cs="宋体"/>
                <w:b/>
                <w:bCs/>
                <w:color w:val="000000"/>
                <w:kern w:val="0"/>
                <w:szCs w:val="21"/>
                <w:lang w:val="en-US" w:eastAsia="zh-CN"/>
              </w:rPr>
              <w:t>▲</w:t>
            </w:r>
            <w:r>
              <w:rPr>
                <w:rFonts w:hint="eastAsia" w:ascii="宋体" w:hAnsi="宋体" w:cs="宋体"/>
                <w:b/>
                <w:bCs/>
                <w:color w:val="000000"/>
                <w:szCs w:val="21"/>
                <w:lang w:val="en-US" w:eastAsia="zh-CN"/>
              </w:rPr>
              <w:t>1.6投标人提供的仪器设备的生产日期必须在一年半内生产。</w:t>
            </w:r>
            <w:r>
              <w:rPr>
                <w:rFonts w:hint="eastAsia" w:ascii="宋体" w:hAnsi="宋体" w:cs="宋体"/>
                <w:b/>
                <w:bCs/>
                <w:color w:val="FF0000"/>
                <w:szCs w:val="21"/>
                <w:lang w:val="en-US" w:eastAsia="zh-CN"/>
              </w:rPr>
              <w:t>【生产日期需提供承诺书（格式自拟）】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ascii="宋体" w:hAnsi="宋体" w:cs="宋体"/>
                <w:b/>
                <w:szCs w:val="21"/>
              </w:rPr>
            </w:pPr>
            <w:r>
              <w:rPr>
                <w:rFonts w:hint="eastAsia" w:ascii="宋体" w:hAnsi="宋体" w:cs="宋体"/>
                <w:b/>
                <w:szCs w:val="21"/>
              </w:rPr>
              <w:t>2</w:t>
            </w:r>
          </w:p>
        </w:tc>
        <w:tc>
          <w:tcPr>
            <w:tcW w:w="1620" w:type="dxa"/>
            <w:vAlign w:val="center"/>
          </w:tcPr>
          <w:p>
            <w:pPr>
              <w:spacing w:line="360" w:lineRule="auto"/>
              <w:jc w:val="center"/>
              <w:rPr>
                <w:rFonts w:ascii="宋体" w:hAnsi="宋体" w:cs="宋体"/>
                <w:szCs w:val="21"/>
              </w:rPr>
            </w:pPr>
            <w:r>
              <w:rPr>
                <w:rFonts w:hint="eastAsia" w:ascii="宋体" w:hAnsi="宋体" w:cs="宋体"/>
                <w:b/>
                <w:kern w:val="0"/>
                <w:szCs w:val="21"/>
              </w:rPr>
              <w:t>质量保证</w:t>
            </w:r>
          </w:p>
        </w:tc>
        <w:tc>
          <w:tcPr>
            <w:tcW w:w="7110" w:type="dxa"/>
          </w:tcPr>
          <w:p>
            <w:pPr>
              <w:spacing w:line="360" w:lineRule="auto"/>
              <w:rPr>
                <w:rFonts w:ascii="宋体" w:hAnsi="宋体" w:cs="宋体"/>
                <w:color w:val="000000"/>
                <w:kern w:val="0"/>
                <w:szCs w:val="21"/>
              </w:rPr>
            </w:pPr>
            <w:r>
              <w:rPr>
                <w:rFonts w:hint="eastAsia" w:ascii="宋体" w:hAnsi="宋体" w:cs="宋体"/>
                <w:color w:val="000000"/>
                <w:kern w:val="0"/>
                <w:szCs w:val="21"/>
              </w:rPr>
              <w:t>2.1在保修期内, 投标人应确保年开机率在95%以上, 若不能达到此开机率，将作以下处理：a. 年开机率在90-95%之间按一赔</w:t>
            </w:r>
            <w:r>
              <w:rPr>
                <w:rFonts w:hint="eastAsia" w:ascii="宋体" w:hAnsi="宋体" w:cs="宋体"/>
                <w:color w:val="000000"/>
                <w:kern w:val="0"/>
                <w:szCs w:val="21"/>
                <w:u w:val="single"/>
              </w:rPr>
              <w:t xml:space="preserve">  二</w:t>
            </w:r>
            <w:r>
              <w:rPr>
                <w:rFonts w:hint="eastAsia" w:ascii="宋体" w:hAnsi="宋体" w:cs="宋体"/>
                <w:color w:val="000000"/>
                <w:kern w:val="0"/>
                <w:szCs w:val="21"/>
              </w:rPr>
              <w:t>延长保修期；b. 年开机率在85-90%之间按一赔</w:t>
            </w:r>
            <w:r>
              <w:rPr>
                <w:rFonts w:hint="eastAsia" w:ascii="宋体" w:hAnsi="宋体" w:cs="宋体"/>
                <w:color w:val="000000"/>
                <w:kern w:val="0"/>
                <w:szCs w:val="21"/>
                <w:u w:val="single"/>
              </w:rPr>
              <w:t xml:space="preserve">  五</w:t>
            </w:r>
            <w:r>
              <w:rPr>
                <w:rFonts w:hint="eastAsia" w:ascii="宋体" w:hAnsi="宋体" w:cs="宋体"/>
                <w:color w:val="000000"/>
                <w:kern w:val="0"/>
                <w:szCs w:val="21"/>
              </w:rPr>
              <w:t>延长保修期；c. 年开机率低于85%，投标人必须无条件更换新机，并重新计算保修期，以及赔偿用户的直接经济损失和间接经济损失。注：年开机率（</w:t>
            </w:r>
            <w:r>
              <w:rPr>
                <w:rFonts w:hint="eastAsia" w:ascii="宋体" w:hAnsi="宋体" w:eastAsia="宋体" w:cs="宋体"/>
                <w:bCs/>
                <w:color w:val="auto"/>
                <w:sz w:val="21"/>
                <w:szCs w:val="21"/>
                <w:highlight w:val="none"/>
                <w:lang w:eastAsia="zh-CN"/>
              </w:rPr>
              <w:t>日历</w:t>
            </w:r>
            <w:r>
              <w:rPr>
                <w:rFonts w:hint="eastAsia" w:ascii="宋体" w:hAnsi="宋体" w:eastAsia="宋体" w:cs="宋体"/>
                <w:bCs/>
                <w:color w:val="auto"/>
                <w:sz w:val="21"/>
                <w:szCs w:val="21"/>
                <w:highlight w:val="none"/>
              </w:rPr>
              <w:t>日</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0" w:type="dxa"/>
            <w:gridSpan w:val="3"/>
            <w:vAlign w:val="center"/>
          </w:tcPr>
          <w:p>
            <w:pPr>
              <w:spacing w:line="360" w:lineRule="auto"/>
              <w:rPr>
                <w:rFonts w:ascii="宋体" w:hAnsi="宋体" w:cs="宋体"/>
                <w:b/>
                <w:color w:val="000000"/>
                <w:szCs w:val="21"/>
              </w:rPr>
            </w:pPr>
            <w:r>
              <w:rPr>
                <w:rFonts w:hint="eastAsia" w:ascii="宋体" w:hAnsi="宋体" w:cs="宋体"/>
                <w:b/>
                <w:color w:val="000000"/>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620" w:type="dxa"/>
            <w:vMerge w:val="restart"/>
            <w:vAlign w:val="center"/>
          </w:tcPr>
          <w:p>
            <w:pPr>
              <w:spacing w:line="360" w:lineRule="auto"/>
              <w:jc w:val="center"/>
              <w:rPr>
                <w:rFonts w:ascii="宋体" w:hAnsi="宋体" w:cs="宋体"/>
                <w:b/>
                <w:szCs w:val="21"/>
              </w:rPr>
            </w:pPr>
            <w:r>
              <w:rPr>
                <w:rFonts w:hint="eastAsia" w:ascii="宋体" w:hAnsi="宋体" w:cs="宋体"/>
                <w:b/>
                <w:kern w:val="0"/>
                <w:szCs w:val="21"/>
              </w:rPr>
              <w:t>维修零配件、消耗品和延续保修合同的报价</w:t>
            </w:r>
          </w:p>
        </w:tc>
        <w:tc>
          <w:tcPr>
            <w:tcW w:w="7110" w:type="dxa"/>
          </w:tcPr>
          <w:p>
            <w:pPr>
              <w:spacing w:line="360" w:lineRule="auto"/>
              <w:rPr>
                <w:rFonts w:ascii="宋体" w:hAnsi="宋体" w:cs="宋体"/>
                <w:color w:val="000000"/>
                <w:kern w:val="0"/>
                <w:szCs w:val="21"/>
              </w:rPr>
            </w:pPr>
            <w:r>
              <w:rPr>
                <w:rFonts w:hint="eastAsia" w:ascii="宋体" w:hAnsi="宋体" w:cs="宋体"/>
                <w:color w:val="000000"/>
                <w:kern w:val="0"/>
                <w:szCs w:val="21"/>
              </w:rPr>
              <w:t>1.1由设备制造商提供售后服务，</w:t>
            </w:r>
            <w:r>
              <w:rPr>
                <w:rFonts w:hint="eastAsia" w:ascii="宋体" w:hAnsi="宋体" w:cs="宋体"/>
                <w:bCs/>
                <w:color w:val="000000"/>
                <w:kern w:val="0"/>
                <w:szCs w:val="21"/>
                <w:u w:val="single"/>
              </w:rPr>
              <w:t xml:space="preserve">  2  </w:t>
            </w:r>
            <w:r>
              <w:rPr>
                <w:rFonts w:hint="eastAsia" w:ascii="宋体" w:hAnsi="宋体" w:cs="宋体"/>
                <w:color w:val="000000"/>
                <w:kern w:val="0"/>
                <w:szCs w:val="21"/>
              </w:rPr>
              <w:t>小时内响应，</w:t>
            </w:r>
            <w:r>
              <w:rPr>
                <w:rFonts w:hint="eastAsia" w:ascii="宋体" w:hAnsi="宋体" w:cs="宋体"/>
                <w:bCs/>
                <w:color w:val="000000"/>
                <w:kern w:val="0"/>
                <w:szCs w:val="21"/>
                <w:u w:val="single"/>
              </w:rPr>
              <w:t xml:space="preserve">  24  </w:t>
            </w:r>
            <w:r>
              <w:rPr>
                <w:rFonts w:hint="eastAsia" w:ascii="宋体" w:hAnsi="宋体" w:cs="宋体"/>
                <w:color w:val="000000"/>
                <w:kern w:val="0"/>
                <w:szCs w:val="21"/>
              </w:rPr>
              <w:t>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jc w:val="center"/>
              <w:rPr>
                <w:rFonts w:ascii="宋体" w:hAnsi="宋体" w:cs="宋体"/>
                <w:b/>
                <w:kern w:val="0"/>
                <w:szCs w:val="21"/>
              </w:rPr>
            </w:pPr>
          </w:p>
        </w:tc>
        <w:tc>
          <w:tcPr>
            <w:tcW w:w="7110" w:type="dxa"/>
          </w:tcPr>
          <w:p>
            <w:pPr>
              <w:spacing w:line="360" w:lineRule="auto"/>
              <w:rPr>
                <w:rFonts w:ascii="宋体" w:hAnsi="宋体" w:cs="宋体"/>
                <w:color w:val="000000"/>
                <w:kern w:val="0"/>
                <w:szCs w:val="21"/>
              </w:rPr>
            </w:pPr>
            <w:r>
              <w:rPr>
                <w:rFonts w:hint="eastAsia" w:ascii="宋体" w:hAnsi="宋体" w:cs="宋体"/>
                <w:color w:val="000000"/>
                <w:kern w:val="0"/>
                <w:szCs w:val="21"/>
              </w:rPr>
              <w:t>1.2保修期满后，投标人应以优惠价供应维修零配件、消耗品和延续保修合同。价格最高的前5项零配件、消耗品和延续保修合同的报价明细必须填写于《</w:t>
            </w:r>
            <w:r>
              <w:rPr>
                <w:rFonts w:hint="eastAsia" w:ascii="宋体" w:hAnsi="宋体" w:cs="宋体"/>
                <w:color w:val="000000"/>
                <w:kern w:val="0"/>
                <w:szCs w:val="21"/>
                <w:lang w:eastAsia="zh-CN"/>
              </w:rPr>
              <w:t>零配件、消耗品和延续保修合同报价明细清单</w:t>
            </w:r>
            <w:r>
              <w:rPr>
                <w:rFonts w:hint="eastAsia" w:ascii="宋体" w:hAnsi="宋体" w:cs="宋体"/>
                <w:color w:val="000000"/>
                <w:kern w:val="0"/>
                <w:szCs w:val="21"/>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tcPr>
          <w:p>
            <w:pPr>
              <w:spacing w:line="360" w:lineRule="auto"/>
              <w:rPr>
                <w:rFonts w:ascii="宋体" w:hAnsi="宋体" w:cs="宋体"/>
                <w:b/>
                <w:szCs w:val="21"/>
              </w:rPr>
            </w:pPr>
          </w:p>
        </w:tc>
        <w:tc>
          <w:tcPr>
            <w:tcW w:w="7110" w:type="dxa"/>
          </w:tcPr>
          <w:p>
            <w:pPr>
              <w:spacing w:line="360" w:lineRule="auto"/>
              <w:rPr>
                <w:rFonts w:ascii="宋体" w:hAnsi="宋体" w:cs="宋体"/>
                <w:color w:val="000000"/>
                <w:kern w:val="0"/>
                <w:szCs w:val="21"/>
              </w:rPr>
            </w:pPr>
            <w:r>
              <w:rPr>
                <w:rFonts w:hint="eastAsia" w:ascii="宋体" w:hAnsi="宋体" w:cs="宋体"/>
                <w:color w:val="000000"/>
                <w:kern w:val="0"/>
                <w:szCs w:val="21"/>
              </w:rPr>
              <w:t>1.3采购人可与投标人就优惠价进行谈判，但优惠价不得高于投标人在投标文件的《</w:t>
            </w:r>
            <w:r>
              <w:rPr>
                <w:rFonts w:hint="eastAsia" w:ascii="宋体" w:hAnsi="宋体" w:cs="宋体"/>
                <w:color w:val="000000"/>
                <w:kern w:val="0"/>
                <w:szCs w:val="21"/>
                <w:lang w:eastAsia="zh-CN"/>
              </w:rPr>
              <w:t>零配件、消耗品和延续保修合同报价明细清单</w:t>
            </w:r>
            <w:r>
              <w:rPr>
                <w:rFonts w:hint="eastAsia" w:ascii="宋体" w:hAnsi="宋体" w:cs="宋体"/>
                <w:color w:val="000000"/>
                <w:kern w:val="0"/>
                <w:szCs w:val="21"/>
              </w:rPr>
              <w:t>》中承诺的维修零配件、消耗品和延续保修合同的报价。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tcPr>
          <w:p>
            <w:pPr>
              <w:spacing w:line="360" w:lineRule="auto"/>
              <w:rPr>
                <w:rFonts w:ascii="宋体" w:hAnsi="宋体" w:cs="宋体"/>
                <w:b/>
                <w:szCs w:val="21"/>
              </w:rPr>
            </w:pPr>
          </w:p>
        </w:tc>
        <w:tc>
          <w:tcPr>
            <w:tcW w:w="7110" w:type="dxa"/>
          </w:tcPr>
          <w:p>
            <w:pPr>
              <w:spacing w:line="360" w:lineRule="auto"/>
              <w:rPr>
                <w:rFonts w:ascii="宋体" w:hAnsi="宋体" w:cs="宋体"/>
                <w:b/>
                <w:color w:val="000000"/>
                <w:szCs w:val="21"/>
              </w:rPr>
            </w:pPr>
            <w:r>
              <w:rPr>
                <w:rFonts w:hint="eastAsia" w:ascii="宋体" w:hAnsi="宋体" w:cs="宋体"/>
                <w:color w:val="000000"/>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tcPr>
          <w:p>
            <w:pPr>
              <w:spacing w:line="360" w:lineRule="auto"/>
              <w:rPr>
                <w:rFonts w:ascii="宋体" w:hAnsi="宋体" w:cs="宋体"/>
                <w:b/>
                <w:szCs w:val="21"/>
              </w:rPr>
            </w:pPr>
          </w:p>
        </w:tc>
        <w:tc>
          <w:tcPr>
            <w:tcW w:w="7110" w:type="dxa"/>
          </w:tcPr>
          <w:p>
            <w:pPr>
              <w:spacing w:line="360" w:lineRule="auto"/>
              <w:rPr>
                <w:rFonts w:hint="eastAsia" w:ascii="宋体" w:hAnsi="宋体" w:cs="宋体"/>
                <w:color w:val="000000"/>
                <w:kern w:val="0"/>
                <w:szCs w:val="21"/>
              </w:rPr>
            </w:pPr>
            <w:r>
              <w:rPr>
                <w:rFonts w:hint="eastAsia" w:ascii="宋体" w:hAnsi="宋体" w:cs="宋体"/>
                <w:color w:val="000000"/>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tcPr>
          <w:p>
            <w:pPr>
              <w:spacing w:line="360" w:lineRule="auto"/>
              <w:rPr>
                <w:rFonts w:ascii="宋体" w:hAnsi="宋体" w:cs="宋体"/>
                <w:b/>
                <w:szCs w:val="21"/>
              </w:rPr>
            </w:pPr>
          </w:p>
        </w:tc>
        <w:tc>
          <w:tcPr>
            <w:tcW w:w="7110" w:type="dxa"/>
          </w:tcPr>
          <w:p>
            <w:pPr>
              <w:spacing w:line="360" w:lineRule="auto"/>
              <w:rPr>
                <w:rFonts w:hint="default" w:ascii="宋体" w:hAnsi="宋体" w:eastAsia="宋体" w:cs="宋体"/>
                <w:b/>
                <w:color w:val="000000"/>
                <w:szCs w:val="21"/>
                <w:lang w:val="en-US" w:eastAsia="zh-CN"/>
              </w:rPr>
            </w:pPr>
            <w:r>
              <w:rPr>
                <w:rFonts w:hint="eastAsia" w:ascii="宋体" w:hAnsi="宋体" w:cs="宋体"/>
                <w:b/>
                <w:bCs w:val="0"/>
                <w:color w:val="000000"/>
                <w:szCs w:val="21"/>
                <w:highlight w:val="yellow"/>
                <w:lang w:val="en-US" w:eastAsia="zh-CN"/>
              </w:rPr>
              <w:t>★1.6仪器配套封闭试剂及耗材需在深圳市卫生耗材阳光采购平台上注册，并承诺提供深圳市内最低供货价，新冠试剂需进入2022年广东联盟新冠试剂耗材接续带量采购产品目录中。</w:t>
            </w:r>
            <w:r>
              <w:rPr>
                <w:rFonts w:hint="eastAsia" w:ascii="宋体" w:hAnsi="宋体" w:cs="宋体"/>
                <w:b/>
                <w:bCs w:val="0"/>
                <w:color w:val="FF0000"/>
                <w:szCs w:val="21"/>
                <w:highlight w:val="yellow"/>
                <w:lang w:val="en-US" w:eastAsia="zh-CN"/>
              </w:rPr>
              <w:t>【提供深圳市卫生耗材阳光采购平台上注册证明和承诺函（格式自拟）】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0" w:type="dxa"/>
            <w:gridSpan w:val="3"/>
            <w:vAlign w:val="center"/>
          </w:tcPr>
          <w:p>
            <w:pPr>
              <w:spacing w:line="360" w:lineRule="auto"/>
              <w:rPr>
                <w:rFonts w:ascii="宋体" w:hAnsi="宋体" w:cs="宋体"/>
                <w:b/>
                <w:color w:val="000000"/>
                <w:szCs w:val="21"/>
              </w:rPr>
            </w:pPr>
            <w:r>
              <w:rPr>
                <w:rFonts w:hint="eastAsia" w:ascii="宋体" w:hAnsi="宋体" w:cs="宋体"/>
                <w:b/>
                <w:color w:val="000000"/>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620" w:type="dxa"/>
            <w:vMerge w:val="restart"/>
            <w:vAlign w:val="center"/>
          </w:tcPr>
          <w:p>
            <w:pPr>
              <w:spacing w:line="360" w:lineRule="auto"/>
              <w:jc w:val="center"/>
              <w:rPr>
                <w:rFonts w:ascii="宋体" w:hAnsi="宋体" w:cs="宋体"/>
                <w:szCs w:val="21"/>
              </w:rPr>
            </w:pPr>
            <w:r>
              <w:rPr>
                <w:rFonts w:hint="eastAsia" w:ascii="宋体" w:hAnsi="宋体" w:cs="宋体"/>
                <w:b/>
                <w:szCs w:val="21"/>
              </w:rPr>
              <w:t>交货要求</w:t>
            </w:r>
          </w:p>
        </w:tc>
        <w:tc>
          <w:tcPr>
            <w:tcW w:w="7110" w:type="dxa"/>
            <w:vAlign w:val="center"/>
          </w:tcPr>
          <w:p>
            <w:pPr>
              <w:spacing w:line="360" w:lineRule="auto"/>
              <w:rPr>
                <w:rFonts w:ascii="宋体" w:hAnsi="宋体" w:cs="宋体"/>
                <w:b/>
                <w:color w:val="000000"/>
                <w:szCs w:val="21"/>
              </w:rPr>
            </w:pPr>
            <w:r>
              <w:rPr>
                <w:rFonts w:hint="eastAsia" w:ascii="宋体" w:hAnsi="宋体" w:cs="宋体"/>
                <w:b/>
                <w:bCs/>
                <w:color w:val="000000"/>
                <w:kern w:val="0"/>
                <w:szCs w:val="21"/>
                <w:highlight w:val="yellow"/>
              </w:rPr>
              <w:t>★</w:t>
            </w:r>
            <w:r>
              <w:rPr>
                <w:rFonts w:hint="eastAsia" w:ascii="宋体" w:hAnsi="宋体" w:cs="宋体"/>
                <w:b/>
                <w:bCs/>
                <w:color w:val="000000"/>
                <w:szCs w:val="21"/>
                <w:highlight w:val="yellow"/>
              </w:rPr>
              <w:t>1.1</w:t>
            </w:r>
            <w:r>
              <w:rPr>
                <w:rFonts w:hint="eastAsia" w:ascii="宋体" w:hAnsi="宋体" w:cs="宋体"/>
                <w:b/>
                <w:bCs/>
                <w:color w:val="000000"/>
                <w:kern w:val="0"/>
                <w:szCs w:val="21"/>
                <w:highlight w:val="yellow"/>
              </w:rPr>
              <w:t>投标人在签订合同之日起</w:t>
            </w:r>
            <w:r>
              <w:rPr>
                <w:rFonts w:hint="eastAsia" w:ascii="宋体" w:hAnsi="宋体" w:cs="宋体"/>
                <w:b/>
                <w:bCs/>
                <w:color w:val="000000"/>
                <w:kern w:val="0"/>
                <w:szCs w:val="21"/>
                <w:highlight w:val="yellow"/>
                <w:u w:val="single"/>
              </w:rPr>
              <w:t xml:space="preserve">  60  </w:t>
            </w:r>
            <w:r>
              <w:rPr>
                <w:rFonts w:hint="eastAsia" w:ascii="宋体" w:hAnsi="宋体" w:cs="宋体"/>
                <w:b/>
                <w:bCs/>
                <w:color w:val="000000"/>
                <w:kern w:val="0"/>
                <w:szCs w:val="21"/>
                <w:highlight w:val="yellow"/>
              </w:rPr>
              <w:t>日历日内交货。不满足将导致投标无效。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jc w:val="center"/>
              <w:rPr>
                <w:rFonts w:ascii="宋体" w:hAnsi="宋体" w:cs="宋体"/>
                <w:szCs w:val="21"/>
              </w:rPr>
            </w:pPr>
          </w:p>
        </w:tc>
        <w:tc>
          <w:tcPr>
            <w:tcW w:w="7110" w:type="dxa"/>
          </w:tcPr>
          <w:p>
            <w:pPr>
              <w:spacing w:line="360" w:lineRule="auto"/>
              <w:rPr>
                <w:rFonts w:ascii="宋体" w:hAnsi="宋体" w:cs="宋体"/>
                <w:bCs/>
                <w:color w:val="000000"/>
                <w:szCs w:val="21"/>
              </w:rPr>
            </w:pPr>
            <w:r>
              <w:rPr>
                <w:rFonts w:hint="eastAsia" w:ascii="宋体" w:hAnsi="宋体" w:cs="宋体"/>
                <w:bCs/>
                <w:color w:val="000000"/>
                <w:szCs w:val="21"/>
              </w:rPr>
              <w:t>1.2投标人</w:t>
            </w:r>
            <w:r>
              <w:rPr>
                <w:rFonts w:hint="eastAsia" w:ascii="宋体" w:hAnsi="宋体" w:cs="宋体"/>
                <w:color w:val="000000"/>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jc w:val="center"/>
              <w:rPr>
                <w:rFonts w:ascii="宋体" w:hAnsi="宋体" w:cs="宋体"/>
                <w:szCs w:val="21"/>
              </w:rPr>
            </w:pPr>
          </w:p>
        </w:tc>
        <w:tc>
          <w:tcPr>
            <w:tcW w:w="7110" w:type="dxa"/>
          </w:tcPr>
          <w:p>
            <w:pPr>
              <w:spacing w:line="360" w:lineRule="auto"/>
              <w:rPr>
                <w:rFonts w:ascii="宋体" w:hAnsi="宋体" w:cs="宋体"/>
                <w:bCs/>
                <w:color w:val="000000"/>
                <w:szCs w:val="21"/>
              </w:rPr>
            </w:pPr>
            <w:r>
              <w:rPr>
                <w:rFonts w:hint="eastAsia" w:ascii="宋体" w:hAnsi="宋体" w:cs="宋体"/>
                <w:color w:val="000000"/>
                <w:spacing w:val="-3"/>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000000"/>
                <w:kern w:val="0"/>
                <w:szCs w:val="21"/>
              </w:rPr>
              <w:t>报关证明</w:t>
            </w:r>
            <w:r>
              <w:rPr>
                <w:rFonts w:hint="eastAsia" w:ascii="宋体" w:hAnsi="宋体" w:cs="宋体"/>
                <w:color w:val="000000"/>
                <w:spacing w:val="-3"/>
                <w:szCs w:val="21"/>
              </w:rPr>
              <w:t>文件、</w:t>
            </w:r>
            <w:r>
              <w:rPr>
                <w:rFonts w:hint="eastAsia" w:ascii="宋体" w:hAnsi="宋体" w:cs="宋体"/>
                <w:color w:val="000000"/>
                <w:kern w:val="0"/>
                <w:szCs w:val="21"/>
              </w:rPr>
              <w:t>原产地证明和</w:t>
            </w:r>
            <w:r>
              <w:rPr>
                <w:rFonts w:hint="eastAsia" w:ascii="宋体" w:hAnsi="宋体" w:cs="宋体"/>
                <w:color w:val="000000"/>
                <w:spacing w:val="-3"/>
                <w:szCs w:val="21"/>
              </w:rPr>
              <w:t>商检证明文件。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ascii="宋体" w:hAnsi="宋体" w:cs="宋体"/>
                <w:b/>
                <w:szCs w:val="21"/>
              </w:rPr>
            </w:pPr>
            <w:r>
              <w:rPr>
                <w:rFonts w:hint="eastAsia" w:ascii="宋体" w:hAnsi="宋体" w:cs="宋体"/>
                <w:b/>
                <w:szCs w:val="21"/>
              </w:rPr>
              <w:t>2</w:t>
            </w:r>
          </w:p>
        </w:tc>
        <w:tc>
          <w:tcPr>
            <w:tcW w:w="1620" w:type="dxa"/>
            <w:vMerge w:val="restart"/>
            <w:vAlign w:val="center"/>
          </w:tcPr>
          <w:p>
            <w:pPr>
              <w:spacing w:line="360" w:lineRule="auto"/>
              <w:jc w:val="center"/>
              <w:rPr>
                <w:rFonts w:ascii="宋体" w:hAnsi="宋体" w:cs="宋体"/>
                <w:szCs w:val="21"/>
              </w:rPr>
            </w:pPr>
            <w:r>
              <w:rPr>
                <w:rFonts w:hint="eastAsia" w:ascii="宋体" w:hAnsi="宋体" w:cs="宋体"/>
                <w:b/>
                <w:bCs/>
                <w:kern w:val="0"/>
                <w:szCs w:val="21"/>
              </w:rPr>
              <w:t>运输、安装和验收</w:t>
            </w:r>
          </w:p>
        </w:tc>
        <w:tc>
          <w:tcPr>
            <w:tcW w:w="7110" w:type="dxa"/>
          </w:tcPr>
          <w:p>
            <w:pPr>
              <w:spacing w:line="360" w:lineRule="auto"/>
              <w:rPr>
                <w:rFonts w:ascii="宋体" w:hAnsi="宋体" w:cs="宋体"/>
                <w:bCs/>
                <w:color w:val="000000"/>
                <w:szCs w:val="21"/>
              </w:rPr>
            </w:pPr>
            <w:r>
              <w:rPr>
                <w:rFonts w:hint="eastAsia" w:ascii="宋体" w:hAnsi="宋体" w:cs="宋体"/>
                <w:bCs/>
                <w:color w:val="000000"/>
                <w:szCs w:val="21"/>
              </w:rPr>
              <w:t>2.1投标人</w:t>
            </w:r>
            <w:r>
              <w:rPr>
                <w:rFonts w:hint="eastAsia" w:ascii="宋体" w:hAnsi="宋体" w:cs="宋体"/>
                <w:bCs/>
                <w:color w:val="000000"/>
                <w:kern w:val="0"/>
                <w:szCs w:val="21"/>
              </w:rPr>
              <w:t>负责将</w:t>
            </w:r>
            <w:r>
              <w:rPr>
                <w:rFonts w:hint="eastAsia" w:ascii="宋体" w:hAnsi="宋体" w:cs="宋体"/>
                <w:color w:val="000000"/>
                <w:kern w:val="0"/>
                <w:szCs w:val="21"/>
              </w:rPr>
              <w:t>货物</w:t>
            </w:r>
            <w:r>
              <w:rPr>
                <w:rFonts w:hint="eastAsia" w:ascii="宋体" w:hAnsi="宋体" w:cs="宋体"/>
                <w:bCs/>
                <w:color w:val="000000"/>
                <w:kern w:val="0"/>
                <w:szCs w:val="21"/>
              </w:rPr>
              <w:t>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tcPr>
          <w:p>
            <w:pPr>
              <w:spacing w:line="360" w:lineRule="auto"/>
              <w:rPr>
                <w:rFonts w:ascii="宋体" w:hAnsi="宋体" w:cs="宋体"/>
                <w:b/>
                <w:szCs w:val="21"/>
              </w:rPr>
            </w:pPr>
          </w:p>
        </w:tc>
        <w:tc>
          <w:tcPr>
            <w:tcW w:w="7110" w:type="dxa"/>
          </w:tcPr>
          <w:p>
            <w:pPr>
              <w:tabs>
                <w:tab w:val="left" w:pos="1260"/>
              </w:tabs>
              <w:spacing w:line="360" w:lineRule="auto"/>
              <w:rPr>
                <w:rFonts w:ascii="宋体" w:hAnsi="宋体" w:cs="宋体"/>
                <w:bCs/>
                <w:color w:val="000000"/>
                <w:szCs w:val="21"/>
              </w:rPr>
            </w:pPr>
            <w:r>
              <w:rPr>
                <w:rFonts w:hint="eastAsia" w:ascii="宋体" w:hAnsi="宋体" w:cs="宋体"/>
                <w:bCs/>
                <w:color w:val="000000"/>
                <w:szCs w:val="21"/>
              </w:rPr>
              <w:t>2.2</w:t>
            </w:r>
            <w:r>
              <w:rPr>
                <w:rFonts w:hint="eastAsia" w:ascii="宋体" w:hAnsi="宋体" w:cs="宋体"/>
                <w:bCs/>
                <w:color w:val="000000"/>
                <w:kern w:val="0"/>
                <w:szCs w:val="21"/>
              </w:rPr>
              <w:t>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bCs/>
                <w:color w:val="000000"/>
                <w:kern w:val="0"/>
                <w:szCs w:val="21"/>
                <w:u w:val="single"/>
              </w:rPr>
              <w:t xml:space="preserve"> 7</w:t>
            </w:r>
            <w:r>
              <w:rPr>
                <w:rFonts w:hint="eastAsia" w:ascii="宋体" w:hAnsi="宋体" w:cs="宋体"/>
                <w:bCs/>
                <w:color w:val="000000"/>
                <w:kern w:val="0"/>
                <w:szCs w:val="21"/>
                <w:u w:val="single"/>
                <w:lang w:val="en-US" w:eastAsia="zh-CN"/>
              </w:rPr>
              <w:t xml:space="preserve"> </w:t>
            </w:r>
            <w:r>
              <w:rPr>
                <w:rFonts w:hint="eastAsia" w:ascii="宋体" w:hAnsi="宋体" w:cs="宋体"/>
                <w:bCs/>
                <w:color w:val="000000"/>
                <w:kern w:val="0"/>
                <w:szCs w:val="21"/>
              </w:rPr>
              <w:t>天内采取补足、更换或退货等措施,以满足规格的要求，由此发生的一切损失和费用由投标人承担。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tcPr>
          <w:p>
            <w:pPr>
              <w:spacing w:line="360" w:lineRule="auto"/>
              <w:rPr>
                <w:rFonts w:ascii="宋体" w:hAnsi="宋体" w:cs="宋体"/>
                <w:b/>
                <w:szCs w:val="21"/>
              </w:rPr>
            </w:pPr>
          </w:p>
        </w:tc>
        <w:tc>
          <w:tcPr>
            <w:tcW w:w="7110" w:type="dxa"/>
          </w:tcPr>
          <w:p>
            <w:pPr>
              <w:tabs>
                <w:tab w:val="left" w:pos="1260"/>
              </w:tabs>
              <w:spacing w:line="360" w:lineRule="auto"/>
              <w:rPr>
                <w:rFonts w:ascii="宋体" w:hAnsi="宋体" w:cs="宋体"/>
                <w:bCs/>
                <w:color w:val="000000"/>
                <w:szCs w:val="21"/>
              </w:rPr>
            </w:pPr>
            <w:r>
              <w:rPr>
                <w:rFonts w:hint="eastAsia" w:ascii="宋体" w:hAnsi="宋体" w:cs="宋体"/>
                <w:color w:val="000000"/>
                <w:spacing w:val="-3"/>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bCs/>
                <w:color w:val="000000"/>
                <w:kern w:val="0"/>
                <w:szCs w:val="21"/>
                <w:u w:val="single"/>
              </w:rPr>
              <w:t xml:space="preserve">  5 </w:t>
            </w:r>
            <w:r>
              <w:rPr>
                <w:rFonts w:hint="eastAsia" w:ascii="宋体" w:hAnsi="宋体" w:cs="宋体"/>
                <w:color w:val="000000"/>
                <w:spacing w:val="-3"/>
                <w:szCs w:val="21"/>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tcPr>
          <w:p>
            <w:pPr>
              <w:spacing w:line="360" w:lineRule="auto"/>
              <w:rPr>
                <w:rFonts w:ascii="宋体" w:hAnsi="宋体" w:cs="宋体"/>
                <w:b/>
                <w:szCs w:val="21"/>
              </w:rPr>
            </w:pPr>
          </w:p>
        </w:tc>
        <w:tc>
          <w:tcPr>
            <w:tcW w:w="7110" w:type="dxa"/>
          </w:tcPr>
          <w:p>
            <w:pPr>
              <w:tabs>
                <w:tab w:val="left" w:pos="1260"/>
              </w:tabs>
              <w:spacing w:line="360" w:lineRule="auto"/>
              <w:rPr>
                <w:rFonts w:ascii="宋体" w:hAnsi="宋体" w:cs="宋体"/>
                <w:bCs/>
                <w:color w:val="000000"/>
                <w:szCs w:val="21"/>
              </w:rPr>
            </w:pPr>
            <w:r>
              <w:rPr>
                <w:rFonts w:hint="eastAsia" w:ascii="宋体" w:hAnsi="宋体" w:cs="宋体"/>
                <w:color w:val="000000"/>
                <w:spacing w:val="-3"/>
                <w:szCs w:val="21"/>
              </w:rPr>
              <w:t>2.4由</w:t>
            </w:r>
            <w:r>
              <w:rPr>
                <w:rFonts w:hint="eastAsia" w:ascii="宋体" w:hAnsi="宋体" w:eastAsia="宋体" w:cs="宋体"/>
                <w:color w:val="000000"/>
                <w:sz w:val="21"/>
                <w:szCs w:val="21"/>
              </w:rPr>
              <w:t>中标人代表</w:t>
            </w:r>
            <w:r>
              <w:rPr>
                <w:rFonts w:hint="eastAsia" w:ascii="宋体" w:hAnsi="宋体" w:cs="宋体"/>
                <w:color w:val="000000"/>
                <w:spacing w:val="-3"/>
                <w:szCs w:val="21"/>
              </w:rPr>
              <w:t>和采购人组成验收小组对产品进行验收。验收标准按照国家规定标准执行。经检验设备正常运作后签署验收报告,产品保修期自验收合格之日起算。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ascii="宋体" w:hAnsi="宋体" w:cs="宋体"/>
                <w:b/>
                <w:szCs w:val="21"/>
              </w:rPr>
            </w:pPr>
            <w:r>
              <w:rPr>
                <w:rFonts w:hint="eastAsia" w:ascii="宋体" w:hAnsi="宋体" w:cs="宋体"/>
                <w:b/>
                <w:szCs w:val="21"/>
              </w:rPr>
              <w:t>3</w:t>
            </w:r>
          </w:p>
        </w:tc>
        <w:tc>
          <w:tcPr>
            <w:tcW w:w="1620" w:type="dxa"/>
            <w:vAlign w:val="center"/>
          </w:tcPr>
          <w:p>
            <w:pPr>
              <w:spacing w:line="360" w:lineRule="auto"/>
              <w:jc w:val="center"/>
              <w:rPr>
                <w:rFonts w:ascii="宋体" w:hAnsi="宋体" w:cs="宋体"/>
                <w:b/>
                <w:szCs w:val="21"/>
              </w:rPr>
            </w:pPr>
            <w:r>
              <w:rPr>
                <w:rFonts w:hint="eastAsia" w:ascii="宋体" w:hAnsi="宋体" w:cs="宋体"/>
                <w:b/>
                <w:kern w:val="0"/>
                <w:szCs w:val="21"/>
              </w:rPr>
              <w:t>培训</w:t>
            </w:r>
          </w:p>
        </w:tc>
        <w:tc>
          <w:tcPr>
            <w:tcW w:w="7110" w:type="dxa"/>
          </w:tcPr>
          <w:p>
            <w:pPr>
              <w:spacing w:line="360" w:lineRule="auto"/>
              <w:rPr>
                <w:rFonts w:ascii="宋体" w:hAnsi="宋体" w:cs="宋体"/>
                <w:b/>
                <w:color w:val="000000"/>
                <w:szCs w:val="21"/>
              </w:rPr>
            </w:pPr>
            <w:r>
              <w:rPr>
                <w:rFonts w:hint="eastAsia" w:ascii="宋体" w:hAnsi="宋体" w:cs="宋体"/>
                <w:bCs/>
                <w:color w:val="000000"/>
                <w:kern w:val="0"/>
                <w:szCs w:val="21"/>
              </w:rPr>
              <w:t>3.1中标人应派专业技术人员免费对采购单位指定人员进行定期培训及指导，直至其完全掌握设备的基本故障处理技术。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ascii="宋体" w:hAnsi="宋体" w:cs="宋体"/>
                <w:b/>
                <w:kern w:val="0"/>
                <w:szCs w:val="21"/>
              </w:rPr>
            </w:pPr>
            <w:r>
              <w:rPr>
                <w:rFonts w:hint="eastAsia" w:ascii="宋体" w:hAnsi="宋体" w:cs="宋体"/>
                <w:b/>
                <w:kern w:val="0"/>
                <w:szCs w:val="21"/>
              </w:rPr>
              <w:t>4</w:t>
            </w:r>
          </w:p>
        </w:tc>
        <w:tc>
          <w:tcPr>
            <w:tcW w:w="1620" w:type="dxa"/>
            <w:vMerge w:val="restart"/>
            <w:vAlign w:val="center"/>
          </w:tcPr>
          <w:p>
            <w:pPr>
              <w:tabs>
                <w:tab w:val="left" w:pos="1260"/>
              </w:tabs>
              <w:spacing w:line="360" w:lineRule="auto"/>
              <w:jc w:val="center"/>
              <w:rPr>
                <w:rFonts w:ascii="宋体" w:hAnsi="宋体" w:cs="宋体"/>
                <w:b/>
                <w:kern w:val="0"/>
                <w:szCs w:val="21"/>
              </w:rPr>
            </w:pPr>
            <w:r>
              <w:rPr>
                <w:rFonts w:hint="eastAsia" w:ascii="宋体" w:hAnsi="宋体" w:cs="宋体"/>
                <w:b/>
                <w:kern w:val="0"/>
                <w:szCs w:val="21"/>
              </w:rPr>
              <w:t>知识产权</w:t>
            </w:r>
          </w:p>
        </w:tc>
        <w:tc>
          <w:tcPr>
            <w:tcW w:w="7110" w:type="dxa"/>
          </w:tcPr>
          <w:p>
            <w:pPr>
              <w:tabs>
                <w:tab w:val="left" w:pos="1260"/>
              </w:tabs>
              <w:spacing w:line="360" w:lineRule="auto"/>
              <w:rPr>
                <w:rFonts w:ascii="宋体" w:hAnsi="宋体" w:cs="宋体"/>
                <w:color w:val="000000"/>
                <w:kern w:val="0"/>
                <w:szCs w:val="21"/>
              </w:rPr>
            </w:pPr>
            <w:r>
              <w:rPr>
                <w:rFonts w:hint="eastAsia" w:ascii="宋体" w:hAnsi="宋体" w:cs="宋体"/>
                <w:color w:val="000000"/>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kern w:val="0"/>
                <w:szCs w:val="21"/>
              </w:rPr>
            </w:pPr>
          </w:p>
        </w:tc>
        <w:tc>
          <w:tcPr>
            <w:tcW w:w="1620" w:type="dxa"/>
            <w:vMerge w:val="continue"/>
            <w:vAlign w:val="center"/>
          </w:tcPr>
          <w:p>
            <w:pPr>
              <w:spacing w:line="360" w:lineRule="auto"/>
              <w:jc w:val="center"/>
              <w:rPr>
                <w:rFonts w:ascii="宋体" w:hAnsi="宋体" w:cs="宋体"/>
                <w:b/>
                <w:kern w:val="0"/>
                <w:szCs w:val="21"/>
              </w:rPr>
            </w:pPr>
          </w:p>
        </w:tc>
        <w:tc>
          <w:tcPr>
            <w:tcW w:w="7110" w:type="dxa"/>
          </w:tcPr>
          <w:p>
            <w:pPr>
              <w:spacing w:line="360" w:lineRule="auto"/>
              <w:rPr>
                <w:rFonts w:ascii="宋体" w:hAnsi="宋体" w:cs="宋体"/>
                <w:color w:val="000000"/>
                <w:kern w:val="0"/>
                <w:szCs w:val="21"/>
              </w:rPr>
            </w:pPr>
            <w:r>
              <w:rPr>
                <w:rFonts w:hint="eastAsia" w:ascii="宋体" w:hAnsi="宋体" w:cs="宋体"/>
                <w:color w:val="000000"/>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ascii="宋体" w:hAnsi="宋体" w:cs="宋体"/>
                <w:b/>
                <w:szCs w:val="21"/>
              </w:rPr>
            </w:pPr>
            <w:r>
              <w:rPr>
                <w:rFonts w:hint="eastAsia" w:ascii="宋体" w:hAnsi="宋体" w:cs="宋体"/>
                <w:b/>
                <w:szCs w:val="21"/>
              </w:rPr>
              <w:t>5</w:t>
            </w:r>
          </w:p>
        </w:tc>
        <w:tc>
          <w:tcPr>
            <w:tcW w:w="1620" w:type="dxa"/>
            <w:vAlign w:val="center"/>
          </w:tcPr>
          <w:p>
            <w:pPr>
              <w:spacing w:line="360" w:lineRule="auto"/>
              <w:jc w:val="center"/>
              <w:rPr>
                <w:rFonts w:ascii="宋体" w:hAnsi="宋体" w:cs="宋体"/>
                <w:b/>
                <w:bCs/>
                <w:kern w:val="0"/>
                <w:szCs w:val="21"/>
              </w:rPr>
            </w:pPr>
            <w:r>
              <w:rPr>
                <w:rFonts w:hint="eastAsia" w:ascii="宋体" w:hAnsi="宋体" w:cs="宋体"/>
                <w:b/>
                <w:bCs/>
                <w:kern w:val="0"/>
                <w:szCs w:val="21"/>
              </w:rPr>
              <w:t>付款方式</w:t>
            </w:r>
          </w:p>
        </w:tc>
        <w:tc>
          <w:tcPr>
            <w:tcW w:w="7110" w:type="dxa"/>
          </w:tcPr>
          <w:p>
            <w:pPr>
              <w:spacing w:line="360" w:lineRule="auto"/>
              <w:rPr>
                <w:rFonts w:ascii="宋体" w:hAnsi="宋体" w:cs="宋体"/>
                <w:color w:val="000000"/>
                <w:szCs w:val="21"/>
              </w:rPr>
            </w:pPr>
            <w:r>
              <w:rPr>
                <w:rFonts w:hint="eastAsia" w:ascii="宋体" w:hAnsi="宋体" w:cs="宋体"/>
                <w:color w:val="000000"/>
                <w:szCs w:val="21"/>
              </w:rPr>
              <w:t>5.1合同签订后，</w:t>
            </w:r>
            <w:r>
              <w:rPr>
                <w:rFonts w:hint="eastAsia" w:ascii="宋体" w:hAnsi="宋体" w:cs="宋体"/>
                <w:color w:val="000000"/>
                <w:szCs w:val="21"/>
                <w:lang w:val="en-US" w:eastAsia="zh-CN"/>
              </w:rPr>
              <w:t>中标人</w:t>
            </w:r>
            <w:r>
              <w:rPr>
                <w:rFonts w:hint="eastAsia" w:ascii="宋体" w:hAnsi="宋体" w:cs="宋体"/>
                <w:color w:val="000000"/>
                <w:szCs w:val="21"/>
              </w:rPr>
              <w:t>自主选择以招标文件规定的履约担保缴纳形式提交或缴纳合同总金额5%的履约保证金；货到指定地点、验收合格并提供全额发票后，采购人向中标人支付全款；设备验收合格后，</w:t>
            </w:r>
            <w:r>
              <w:rPr>
                <w:rFonts w:hint="eastAsia" w:ascii="宋体" w:hAnsi="宋体" w:cs="宋体"/>
                <w:color w:val="000000"/>
                <w:szCs w:val="21"/>
                <w:lang w:val="en-US" w:eastAsia="zh-CN"/>
              </w:rPr>
              <w:t>中标人</w:t>
            </w:r>
            <w:r>
              <w:rPr>
                <w:rFonts w:hint="eastAsia" w:ascii="宋体" w:hAnsi="宋体" w:cs="宋体"/>
                <w:color w:val="000000"/>
                <w:szCs w:val="21"/>
              </w:rPr>
              <w:t>向</w:t>
            </w:r>
            <w:r>
              <w:rPr>
                <w:rFonts w:hint="eastAsia" w:ascii="宋体" w:hAnsi="宋体" w:cs="宋体"/>
                <w:color w:val="000000"/>
                <w:szCs w:val="21"/>
                <w:lang w:val="en-US" w:eastAsia="zh-CN"/>
              </w:rPr>
              <w:t>采购人</w:t>
            </w:r>
            <w:r>
              <w:rPr>
                <w:rFonts w:hint="eastAsia" w:ascii="宋体" w:hAnsi="宋体" w:cs="宋体"/>
                <w:color w:val="000000"/>
                <w:szCs w:val="21"/>
              </w:rPr>
              <w:t>申请退回该履约保证金，</w:t>
            </w:r>
            <w:r>
              <w:rPr>
                <w:rFonts w:hint="eastAsia" w:ascii="宋体" w:hAnsi="宋体" w:cs="宋体"/>
                <w:color w:val="000000"/>
                <w:szCs w:val="21"/>
                <w:lang w:val="en-US" w:eastAsia="zh-CN"/>
              </w:rPr>
              <w:t>采购人</w:t>
            </w:r>
            <w:r>
              <w:rPr>
                <w:rFonts w:hint="eastAsia" w:ascii="宋体" w:hAnsi="宋体" w:cs="宋体"/>
                <w:color w:val="000000"/>
                <w:szCs w:val="21"/>
              </w:rPr>
              <w:t>收到申请审核同意后，无息返还</w:t>
            </w:r>
            <w:r>
              <w:rPr>
                <w:rFonts w:hint="eastAsia" w:ascii="宋体" w:hAnsi="宋体" w:cs="宋体"/>
                <w:color w:val="000000"/>
                <w:szCs w:val="21"/>
                <w:lang w:val="en-US" w:eastAsia="zh-CN"/>
              </w:rPr>
              <w:t>中标人</w:t>
            </w:r>
            <w:r>
              <w:rPr>
                <w:rFonts w:hint="eastAsia" w:ascii="宋体" w:hAnsi="宋体" w:cs="宋体"/>
                <w:color w:val="000000"/>
                <w:szCs w:val="21"/>
              </w:rPr>
              <w:t>的履约保证金。因</w:t>
            </w:r>
            <w:r>
              <w:rPr>
                <w:rFonts w:hint="eastAsia" w:ascii="宋体" w:hAnsi="宋体" w:cs="宋体"/>
                <w:color w:val="000000"/>
                <w:szCs w:val="21"/>
                <w:lang w:val="en-US" w:eastAsia="zh-CN"/>
              </w:rPr>
              <w:t>中标人</w:t>
            </w:r>
            <w:r>
              <w:rPr>
                <w:rFonts w:hint="eastAsia" w:ascii="宋体" w:hAnsi="宋体" w:cs="宋体"/>
                <w:color w:val="000000"/>
                <w:szCs w:val="21"/>
              </w:rPr>
              <w:t>原因而未能达到本项目验收标准或验收不通过的，履约保证金不予退还。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restart"/>
            <w:vAlign w:val="center"/>
          </w:tcPr>
          <w:p>
            <w:pPr>
              <w:spacing w:line="360" w:lineRule="auto"/>
              <w:jc w:val="center"/>
              <w:rPr>
                <w:rFonts w:ascii="宋体" w:hAnsi="宋体" w:cs="宋体"/>
                <w:b/>
                <w:szCs w:val="21"/>
              </w:rPr>
            </w:pPr>
            <w:r>
              <w:rPr>
                <w:rFonts w:hint="eastAsia" w:ascii="宋体" w:hAnsi="宋体" w:cs="宋体"/>
                <w:b/>
                <w:szCs w:val="21"/>
              </w:rPr>
              <w:t>6</w:t>
            </w:r>
          </w:p>
        </w:tc>
        <w:tc>
          <w:tcPr>
            <w:tcW w:w="1620" w:type="dxa"/>
            <w:vMerge w:val="restart"/>
            <w:vAlign w:val="center"/>
          </w:tcPr>
          <w:p>
            <w:pPr>
              <w:tabs>
                <w:tab w:val="left" w:pos="1260"/>
              </w:tabs>
              <w:spacing w:line="360" w:lineRule="auto"/>
              <w:jc w:val="center"/>
              <w:rPr>
                <w:rFonts w:ascii="宋体" w:hAnsi="宋体" w:cs="宋体"/>
                <w:b/>
                <w:kern w:val="0"/>
                <w:szCs w:val="21"/>
              </w:rPr>
            </w:pPr>
            <w:r>
              <w:rPr>
                <w:rFonts w:hint="eastAsia" w:ascii="宋体" w:hAnsi="宋体" w:cs="宋体"/>
                <w:b/>
                <w:kern w:val="0"/>
                <w:szCs w:val="21"/>
              </w:rPr>
              <w:t>违约责任</w:t>
            </w:r>
          </w:p>
        </w:tc>
        <w:tc>
          <w:tcPr>
            <w:tcW w:w="7110" w:type="dxa"/>
          </w:tcPr>
          <w:p>
            <w:pPr>
              <w:spacing w:line="360" w:lineRule="auto"/>
              <w:rPr>
                <w:rFonts w:ascii="宋体" w:hAnsi="宋体" w:cs="宋体"/>
                <w:bCs/>
                <w:color w:val="000000"/>
                <w:kern w:val="0"/>
                <w:szCs w:val="21"/>
              </w:rPr>
            </w:pPr>
            <w:r>
              <w:rPr>
                <w:rFonts w:hint="eastAsia" w:ascii="宋体" w:hAnsi="宋体" w:cs="宋体"/>
                <w:bCs/>
                <w:color w:val="000000"/>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jc w:val="center"/>
              <w:rPr>
                <w:rFonts w:ascii="宋体" w:hAnsi="宋体" w:cs="宋体"/>
                <w:b/>
                <w:kern w:val="0"/>
                <w:szCs w:val="21"/>
              </w:rPr>
            </w:pPr>
          </w:p>
        </w:tc>
        <w:tc>
          <w:tcPr>
            <w:tcW w:w="7110" w:type="dxa"/>
          </w:tcPr>
          <w:p>
            <w:pPr>
              <w:spacing w:line="360" w:lineRule="auto"/>
              <w:rPr>
                <w:rFonts w:ascii="宋体" w:hAnsi="宋体" w:cs="宋体"/>
                <w:bCs/>
                <w:color w:val="000000"/>
                <w:kern w:val="0"/>
                <w:szCs w:val="21"/>
              </w:rPr>
            </w:pPr>
            <w:r>
              <w:rPr>
                <w:rFonts w:hint="eastAsia" w:ascii="宋体" w:hAnsi="宋体" w:cs="宋体"/>
                <w:bCs/>
                <w:color w:val="000000"/>
                <w:kern w:val="0"/>
                <w:szCs w:val="21"/>
              </w:rPr>
              <w:t>6.2投标人所交设备的品种、型号、规格、质量、功能、技术参数等方面不能实质性满足招标文件要约的，采购人有权拒绝收货，投标人向采购人偿付项目采购金额千分之</w:t>
            </w:r>
            <w:r>
              <w:rPr>
                <w:rFonts w:hint="eastAsia" w:ascii="宋体" w:hAnsi="宋体" w:cs="宋体"/>
                <w:bCs/>
                <w:color w:val="000000"/>
                <w:kern w:val="0"/>
                <w:szCs w:val="21"/>
                <w:u w:val="single"/>
              </w:rPr>
              <w:t xml:space="preserve">  10  </w:t>
            </w:r>
            <w:r>
              <w:rPr>
                <w:rFonts w:hint="eastAsia" w:ascii="宋体" w:hAnsi="宋体" w:cs="宋体"/>
                <w:bCs/>
                <w:color w:val="000000"/>
                <w:kern w:val="0"/>
                <w:szCs w:val="21"/>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jc w:val="center"/>
              <w:rPr>
                <w:rFonts w:ascii="宋体" w:hAnsi="宋体" w:cs="宋体"/>
                <w:b/>
                <w:kern w:val="0"/>
                <w:szCs w:val="21"/>
              </w:rPr>
            </w:pPr>
          </w:p>
        </w:tc>
        <w:tc>
          <w:tcPr>
            <w:tcW w:w="7110" w:type="dxa"/>
          </w:tcPr>
          <w:p>
            <w:pPr>
              <w:spacing w:line="360" w:lineRule="auto"/>
              <w:rPr>
                <w:rFonts w:ascii="宋体" w:hAnsi="宋体" w:cs="宋体"/>
                <w:bCs/>
                <w:color w:val="000000"/>
                <w:kern w:val="0"/>
                <w:szCs w:val="21"/>
              </w:rPr>
            </w:pPr>
            <w:r>
              <w:rPr>
                <w:rFonts w:hint="eastAsia" w:ascii="宋体" w:hAnsi="宋体" w:cs="宋体"/>
                <w:bCs/>
                <w:color w:val="000000"/>
                <w:kern w:val="0"/>
                <w:szCs w:val="21"/>
              </w:rPr>
              <w:t>6.3投标人不能交付设备的，投标人向采购人偿付项目采购金额千分之</w:t>
            </w:r>
            <w:r>
              <w:rPr>
                <w:rFonts w:hint="eastAsia" w:ascii="宋体" w:hAnsi="宋体" w:cs="宋体"/>
                <w:bCs/>
                <w:color w:val="000000"/>
                <w:kern w:val="0"/>
                <w:szCs w:val="21"/>
                <w:u w:val="single"/>
              </w:rPr>
              <w:t xml:space="preserve">  10  </w:t>
            </w:r>
            <w:r>
              <w:rPr>
                <w:rFonts w:hint="eastAsia" w:ascii="宋体" w:hAnsi="宋体" w:cs="宋体"/>
                <w:bCs/>
                <w:color w:val="000000"/>
                <w:kern w:val="0"/>
                <w:szCs w:val="21"/>
              </w:rPr>
              <w:t>的违约金；造成严重后果的，根据《深圳经济特区政府采购条例》第</w:t>
            </w:r>
          </w:p>
          <w:p>
            <w:pPr>
              <w:spacing w:line="360" w:lineRule="auto"/>
              <w:rPr>
                <w:rFonts w:ascii="宋体" w:hAnsi="宋体" w:cs="宋体"/>
                <w:bCs/>
                <w:color w:val="000000"/>
                <w:kern w:val="0"/>
                <w:szCs w:val="21"/>
              </w:rPr>
            </w:pPr>
            <w:r>
              <w:rPr>
                <w:rFonts w:hint="eastAsia" w:ascii="宋体" w:hAnsi="宋体" w:cs="宋体"/>
                <w:bCs/>
                <w:color w:val="000000"/>
                <w:kern w:val="0"/>
                <w:szCs w:val="21"/>
              </w:rPr>
              <w:t>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jc w:val="center"/>
              <w:rPr>
                <w:rFonts w:ascii="宋体" w:hAnsi="宋体" w:cs="宋体"/>
                <w:b/>
                <w:kern w:val="0"/>
                <w:szCs w:val="21"/>
              </w:rPr>
            </w:pPr>
          </w:p>
        </w:tc>
        <w:tc>
          <w:tcPr>
            <w:tcW w:w="7110" w:type="dxa"/>
          </w:tcPr>
          <w:p>
            <w:pPr>
              <w:spacing w:line="360" w:lineRule="auto"/>
              <w:rPr>
                <w:rFonts w:ascii="宋体" w:hAnsi="宋体" w:cs="宋体"/>
                <w:bCs/>
                <w:color w:val="000000"/>
                <w:kern w:val="0"/>
                <w:szCs w:val="21"/>
              </w:rPr>
            </w:pPr>
            <w:r>
              <w:rPr>
                <w:rFonts w:hint="eastAsia" w:ascii="宋体" w:hAnsi="宋体" w:cs="宋体"/>
                <w:bCs/>
                <w:color w:val="000000"/>
                <w:kern w:val="0"/>
                <w:szCs w:val="21"/>
              </w:rPr>
              <w:t>6.4投标人逾期未交设备的，投标人向采购人每日偿付设备款千分之</w:t>
            </w:r>
            <w:r>
              <w:rPr>
                <w:rFonts w:hint="eastAsia" w:ascii="宋体" w:hAnsi="宋体" w:cs="宋体"/>
                <w:bCs/>
                <w:color w:val="000000"/>
                <w:kern w:val="0"/>
                <w:szCs w:val="21"/>
                <w:u w:val="single"/>
              </w:rPr>
              <w:t xml:space="preserve"> 10 </w:t>
            </w:r>
            <w:r>
              <w:rPr>
                <w:rFonts w:hint="eastAsia" w:ascii="宋体" w:hAnsi="宋体" w:cs="宋体"/>
                <w:bCs/>
                <w:color w:val="000000"/>
                <w:kern w:val="0"/>
                <w:szCs w:val="21"/>
              </w:rPr>
              <w:t>的违约金。投标人超过交货期限</w:t>
            </w:r>
            <w:r>
              <w:rPr>
                <w:rFonts w:hint="eastAsia" w:ascii="宋体" w:hAnsi="宋体" w:cs="宋体"/>
                <w:bCs/>
                <w:color w:val="000000"/>
                <w:kern w:val="0"/>
                <w:szCs w:val="21"/>
                <w:u w:val="single"/>
              </w:rPr>
              <w:t xml:space="preserve">10 </w:t>
            </w:r>
            <w:r>
              <w:rPr>
                <w:rFonts w:hint="eastAsia" w:ascii="宋体" w:hAnsi="宋体" w:cs="宋体"/>
                <w:bCs/>
                <w:color w:val="000000"/>
                <w:kern w:val="0"/>
                <w:szCs w:val="21"/>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60" w:type="dxa"/>
            <w:vMerge w:val="continue"/>
            <w:vAlign w:val="center"/>
          </w:tcPr>
          <w:p>
            <w:pPr>
              <w:spacing w:line="360" w:lineRule="auto"/>
              <w:jc w:val="center"/>
              <w:rPr>
                <w:rFonts w:ascii="宋体" w:hAnsi="宋体" w:cs="宋体"/>
                <w:b/>
                <w:szCs w:val="21"/>
              </w:rPr>
            </w:pPr>
          </w:p>
        </w:tc>
        <w:tc>
          <w:tcPr>
            <w:tcW w:w="1620" w:type="dxa"/>
            <w:vMerge w:val="continue"/>
            <w:vAlign w:val="center"/>
          </w:tcPr>
          <w:p>
            <w:pPr>
              <w:spacing w:line="360" w:lineRule="auto"/>
              <w:jc w:val="center"/>
              <w:rPr>
                <w:rFonts w:ascii="宋体" w:hAnsi="宋体" w:cs="宋体"/>
                <w:b/>
                <w:kern w:val="0"/>
                <w:szCs w:val="21"/>
              </w:rPr>
            </w:pPr>
          </w:p>
        </w:tc>
        <w:tc>
          <w:tcPr>
            <w:tcW w:w="7110" w:type="dxa"/>
          </w:tcPr>
          <w:p>
            <w:pPr>
              <w:spacing w:line="360" w:lineRule="auto"/>
              <w:rPr>
                <w:rFonts w:ascii="宋体" w:hAnsi="宋体" w:cs="宋体"/>
                <w:bCs/>
                <w:kern w:val="0"/>
                <w:szCs w:val="21"/>
              </w:rPr>
            </w:pPr>
            <w:r>
              <w:rPr>
                <w:rFonts w:hint="eastAsia" w:ascii="宋体" w:hAnsi="宋体" w:cs="宋体"/>
                <w:bCs/>
                <w:kern w:val="0"/>
                <w:szCs w:val="21"/>
              </w:rPr>
              <w:t>6.5违约金先从由投标人履约保证金中扣除，若有不足部分则由中标人补齐。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ascii="宋体" w:hAnsi="宋体" w:cs="宋体"/>
                <w:b/>
                <w:szCs w:val="21"/>
              </w:rPr>
            </w:pPr>
            <w:r>
              <w:rPr>
                <w:rFonts w:hint="eastAsia" w:ascii="宋体" w:hAnsi="宋体" w:cs="宋体"/>
                <w:b/>
                <w:szCs w:val="21"/>
              </w:rPr>
              <w:t>7</w:t>
            </w:r>
          </w:p>
        </w:tc>
        <w:tc>
          <w:tcPr>
            <w:tcW w:w="1620" w:type="dxa"/>
            <w:vAlign w:val="center"/>
          </w:tcPr>
          <w:p>
            <w:pPr>
              <w:spacing w:line="360" w:lineRule="auto"/>
              <w:jc w:val="center"/>
              <w:rPr>
                <w:rFonts w:ascii="宋体" w:hAnsi="宋体" w:cs="宋体"/>
                <w:b/>
                <w:kern w:val="0"/>
                <w:szCs w:val="21"/>
              </w:rPr>
            </w:pPr>
            <w:r>
              <w:rPr>
                <w:rFonts w:hint="eastAsia" w:ascii="宋体" w:hAnsi="宋体" w:cs="宋体"/>
                <w:b/>
                <w:kern w:val="0"/>
                <w:szCs w:val="21"/>
              </w:rPr>
              <w:t>其他</w:t>
            </w:r>
          </w:p>
        </w:tc>
        <w:tc>
          <w:tcPr>
            <w:tcW w:w="7110" w:type="dxa"/>
            <w:vAlign w:val="center"/>
          </w:tcPr>
          <w:p>
            <w:pPr>
              <w:spacing w:line="360" w:lineRule="auto"/>
              <w:rPr>
                <w:rFonts w:ascii="宋体" w:hAnsi="宋体" w:cs="宋体"/>
                <w:b/>
                <w:szCs w:val="21"/>
              </w:rPr>
            </w:pPr>
            <w:r>
              <w:rPr>
                <w:rFonts w:hint="eastAsia" w:ascii="宋体" w:hAnsi="宋体" w:cs="宋体"/>
                <w:bCs/>
                <w:szCs w:val="21"/>
              </w:rPr>
              <w:t>7.1投标人应按其投标文件中的承诺，进行其他售后服务工作。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vAlign w:val="center"/>
          </w:tcPr>
          <w:p>
            <w:pPr>
              <w:spacing w:line="360" w:lineRule="auto"/>
              <w:jc w:val="center"/>
              <w:rPr>
                <w:rFonts w:hint="eastAsia" w:ascii="宋体" w:hAnsi="宋体" w:eastAsia="宋体" w:cs="宋体"/>
                <w:b/>
                <w:szCs w:val="21"/>
                <w:lang w:val="en-US" w:eastAsia="zh-CN"/>
              </w:rPr>
            </w:pPr>
            <w:r>
              <w:rPr>
                <w:rFonts w:hint="eastAsia" w:ascii="宋体" w:hAnsi="宋体" w:cs="宋体"/>
                <w:b/>
                <w:szCs w:val="21"/>
                <w:lang w:val="en-US" w:eastAsia="zh-CN"/>
              </w:rPr>
              <w:t>8</w:t>
            </w:r>
          </w:p>
        </w:tc>
        <w:tc>
          <w:tcPr>
            <w:tcW w:w="1620" w:type="dxa"/>
            <w:vAlign w:val="center"/>
          </w:tcPr>
          <w:p>
            <w:pPr>
              <w:spacing w:line="360" w:lineRule="auto"/>
              <w:jc w:val="center"/>
              <w:rPr>
                <w:rFonts w:hint="eastAsia" w:ascii="宋体" w:hAnsi="宋体" w:cs="宋体"/>
                <w:b/>
                <w:kern w:val="0"/>
                <w:szCs w:val="21"/>
              </w:rPr>
            </w:pPr>
            <w:r>
              <w:rPr>
                <w:rFonts w:hint="eastAsia" w:ascii="宋体" w:hAnsi="宋体" w:cs="宋体"/>
                <w:b/>
                <w:kern w:val="0"/>
                <w:szCs w:val="21"/>
              </w:rPr>
              <w:t>项目（产品）要求</w:t>
            </w:r>
          </w:p>
        </w:tc>
        <w:tc>
          <w:tcPr>
            <w:tcW w:w="7110" w:type="dxa"/>
            <w:vAlign w:val="center"/>
          </w:tcPr>
          <w:p>
            <w:pPr>
              <w:spacing w:line="360" w:lineRule="auto"/>
              <w:rPr>
                <w:rFonts w:hint="eastAsia" w:ascii="宋体" w:hAnsi="宋体" w:cs="宋体"/>
                <w:bCs/>
                <w:szCs w:val="21"/>
              </w:rPr>
            </w:pPr>
            <w:r>
              <w:rPr>
                <w:rFonts w:hint="eastAsia" w:ascii="宋体" w:hAnsi="宋体" w:cs="宋体"/>
                <w:b/>
                <w:bCs w:val="0"/>
                <w:szCs w:val="21"/>
                <w:highlight w:val="yellow"/>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bl>
    <w:p>
      <w:r>
        <w:rPr>
          <w:rFonts w:hint="eastAsia" w:ascii="宋体" w:hAnsi="宋体" w:cs="宋体"/>
          <w:b/>
          <w:bCs/>
          <w:color w:val="FF0000"/>
          <w:highlight w:val="yellow"/>
        </w:rPr>
        <w:t>备注：</w:t>
      </w:r>
      <w:r>
        <w:rPr>
          <w:rFonts w:hint="eastAsia" w:ascii="宋体" w:hAnsi="宋体"/>
          <w:snapToGrid w:val="0"/>
          <w:kern w:val="0"/>
          <w:szCs w:val="21"/>
          <w:highlight w:val="yellow"/>
        </w:rPr>
        <w:t>以上商务要求</w:t>
      </w:r>
      <w:r>
        <w:rPr>
          <w:rFonts w:hint="eastAsia" w:ascii="宋体" w:hAnsi="宋体" w:cs="宋体"/>
          <w:highlight w:val="yellow"/>
        </w:rPr>
        <w:t>加注“★”的条款要求为不可偏离项，如不满足或负偏离将导致其投标无效。</w:t>
      </w:r>
    </w:p>
    <w:p/>
    <w:p>
      <w:pPr>
        <w:widowControl/>
        <w:jc w:val="left"/>
      </w:pPr>
    </w:p>
    <w:p>
      <w:pPr>
        <w:widowControl/>
        <w:jc w:val="left"/>
      </w:pPr>
      <w:r>
        <w:br w:type="page"/>
      </w:r>
    </w:p>
    <w:p/>
    <w:p>
      <w:pPr>
        <w:pStyle w:val="2"/>
      </w:pPr>
      <w:bookmarkStart w:id="2" w:name="_Toc29936"/>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utoSpaceDE w:val="0"/>
        <w:autoSpaceDN w:val="0"/>
        <w:adjustRightInd w:val="0"/>
        <w:spacing w:line="360" w:lineRule="auto"/>
        <w:ind w:firstLine="422" w:firstLineChars="200"/>
        <w:jc w:val="left"/>
        <w:rPr>
          <w:rFonts w:ascii="仿宋_GB2312" w:eastAsia="仿宋_GB2312"/>
          <w:sz w:val="24"/>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left="283" w:hanging="283" w:hangingChars="135"/>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rPr>
          <w:rFonts w:ascii="宋体" w:hAnsi="宋体"/>
          <w:snapToGrid w:val="0"/>
          <w:kern w:val="0"/>
        </w:rPr>
      </w:pPr>
      <w:r>
        <w:rPr>
          <w:rFonts w:hint="eastAsia" w:ascii="宋体" w:hAnsi="宋体"/>
          <w:snapToGrid w:val="0"/>
          <w:kern w:val="0"/>
        </w:rPr>
        <w:t>6、投标报价有严重缺漏项的。</w:t>
      </w:r>
    </w:p>
    <w:p>
      <w:pPr>
        <w:adjustRightInd w:val="0"/>
        <w:spacing w:line="360" w:lineRule="auto"/>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rPr>
          <w:rFonts w:ascii="宋体" w:hAnsi="宋体"/>
          <w:snapToGrid w:val="0"/>
          <w:kern w:val="0"/>
        </w:rPr>
      </w:pPr>
      <w:r>
        <w:rPr>
          <w:rFonts w:hint="eastAsia" w:ascii="宋体" w:hAnsi="宋体"/>
          <w:snapToGrid w:val="0"/>
          <w:kern w:val="0"/>
        </w:rPr>
        <w:t>9、将一个项目包拆分投标，对同一货物及服务投标时，同时提供两套或以上的投标方案。</w:t>
      </w:r>
    </w:p>
    <w:p>
      <w:pPr>
        <w:adjustRightInd w:val="0"/>
        <w:spacing w:line="360" w:lineRule="auto"/>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13、法律法规规定的其它情形。</w:t>
      </w:r>
    </w:p>
    <w:p/>
    <w:p/>
    <w:p/>
    <w:p/>
    <w:p>
      <w:pPr>
        <w:widowControl/>
        <w:jc w:val="left"/>
      </w:pPr>
      <w:r>
        <w:br w:type="page"/>
      </w:r>
    </w:p>
    <w:p/>
    <w:p>
      <w:pPr>
        <w:pStyle w:val="2"/>
        <w:spacing w:afterLines="100"/>
      </w:pPr>
      <w:bookmarkStart w:id="3" w:name="_Toc7853"/>
      <w:r>
        <w:rPr>
          <w:rFonts w:hint="eastAsia"/>
        </w:rPr>
        <w:t>第四章  评标方法和标准</w:t>
      </w:r>
      <w:bookmarkEnd w:id="3"/>
    </w:p>
    <w:p>
      <w:pPr>
        <w:pStyle w:val="4"/>
        <w:spacing w:before="0" w:after="0"/>
      </w:pPr>
      <w:bookmarkStart w:id="4" w:name="_Toc44691393"/>
      <w:bookmarkStart w:id="5" w:name="_Toc14249"/>
      <w:bookmarkStart w:id="6" w:name="_Toc44690702"/>
      <w:bookmarkStart w:id="7" w:name="_Toc44690429"/>
      <w:bookmarkStart w:id="8" w:name="_Toc44691161"/>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综合评分法，是指投标文件满足招标文件全部实质性要求，且按照评审因素的量化指标评审得分最高的投标人为中标候选人的评标方法。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3、中标人及中标候选人数量：</w:t>
      </w:r>
      <w:r>
        <w:rPr>
          <w:rFonts w:hint="eastAsia" w:cs="仿宋" w:asciiTheme="minorEastAsia" w:hAnsiTheme="minorEastAsia" w:eastAsiaTheme="minorEastAsia"/>
          <w:kern w:val="2"/>
          <w:sz w:val="21"/>
          <w:szCs w:val="21"/>
        </w:rPr>
        <w:t>中标人数量：1名，中标候选人数量：1名。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5、推荐中标候选人：</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评标排名第一的投标人</w:t>
      </w:r>
      <w:r>
        <w:rPr>
          <w:rFonts w:hint="eastAsia" w:cs="仿宋" w:asciiTheme="minorEastAsia" w:hAnsiTheme="minorEastAsia" w:eastAsiaTheme="minorEastAsia"/>
          <w:kern w:val="2"/>
          <w:sz w:val="21"/>
          <w:szCs w:val="21"/>
        </w:rPr>
        <w:t>作为中标候选人。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6、确定中标人：</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非评定分离项目：采购人在评标报告确定的中标候选人名单中按顺序确定1名中标人。</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24528"/>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auto"/>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autoSpaceDE w:val="0"/>
              <w:autoSpaceDN w:val="0"/>
              <w:adjustRightInd w:val="0"/>
              <w:spacing w:line="360" w:lineRule="auto"/>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auto"/>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autoSpaceDE w:val="0"/>
              <w:autoSpaceDN w:val="0"/>
              <w:adjustRightInd w:val="0"/>
              <w:spacing w:line="360" w:lineRule="auto"/>
              <w:jc w:val="center"/>
              <w:rPr>
                <w:rFonts w:ascii="宋体" w:hAnsi="宋体" w:cs="仿宋"/>
                <w:b/>
                <w:szCs w:val="21"/>
              </w:rPr>
            </w:pPr>
            <w:r>
              <w:rPr>
                <w:rFonts w:hint="eastAsia" w:ascii="宋体" w:hAnsi="宋体" w:cs="仿宋"/>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auto"/>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pPr>
              <w:widowControl/>
              <w:spacing w:line="360" w:lineRule="auto"/>
              <w:jc w:val="left"/>
              <w:rPr>
                <w:rFonts w:ascii="宋体" w:hAnsi="宋体" w:cs="仿宋"/>
                <w:szCs w:val="21"/>
              </w:rPr>
            </w:pPr>
            <w:r>
              <w:rPr>
                <w:rFonts w:hint="eastAsia" w:ascii="宋体" w:hAnsi="宋体" w:cs="仿宋"/>
                <w:szCs w:val="21"/>
              </w:rPr>
              <w:t>投标报价得分=(评标基准价／投标报价)×权重</w:t>
            </w:r>
          </w:p>
          <w:p>
            <w:pPr>
              <w:adjustRightInd w:val="0"/>
              <w:snapToGrid w:val="0"/>
              <w:spacing w:line="360" w:lineRule="auto"/>
              <w:rPr>
                <w:rFonts w:ascii="宋体" w:hAnsi="宋体"/>
                <w:snapToGrid w:val="0"/>
                <w:kern w:val="0"/>
                <w:szCs w:val="21"/>
              </w:rPr>
            </w:pPr>
            <w:r>
              <w:rPr>
                <w:rFonts w:hint="eastAsia" w:ascii="宋体" w:hAnsi="宋体"/>
                <w:snapToGrid w:val="0"/>
                <w:kern w:val="0"/>
                <w:szCs w:val="21"/>
              </w:rPr>
              <w:t>备注：</w:t>
            </w:r>
          </w:p>
          <w:p>
            <w:pPr>
              <w:adjustRightInd w:val="0"/>
              <w:snapToGrid w:val="0"/>
              <w:spacing w:line="360" w:lineRule="auto"/>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pPr>
              <w:autoSpaceDE w:val="0"/>
              <w:autoSpaceDN w:val="0"/>
              <w:adjustRightInd w:val="0"/>
              <w:spacing w:line="360" w:lineRule="auto"/>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auto"/>
              <w:jc w:val="center"/>
              <w:rPr>
                <w:rFonts w:ascii="宋体" w:hAnsi="宋体" w:cs="仿宋"/>
                <w:b/>
                <w:szCs w:val="21"/>
              </w:rPr>
            </w:pPr>
            <w:r>
              <w:rPr>
                <w:rFonts w:hint="eastAsia" w:ascii="宋体" w:hAnsi="宋体" w:cs="仿宋"/>
                <w:b/>
                <w:szCs w:val="21"/>
              </w:rPr>
              <w:t>二、技术部分</w:t>
            </w:r>
          </w:p>
        </w:tc>
        <w:tc>
          <w:tcPr>
            <w:tcW w:w="1187" w:type="dxa"/>
            <w:vAlign w:val="center"/>
          </w:tcPr>
          <w:p>
            <w:pPr>
              <w:autoSpaceDE w:val="0"/>
              <w:autoSpaceDN w:val="0"/>
              <w:adjustRightInd w:val="0"/>
              <w:spacing w:line="360" w:lineRule="auto"/>
              <w:jc w:val="center"/>
              <w:rPr>
                <w:rFonts w:ascii="宋体" w:hAnsi="宋体" w:cs="仿宋"/>
                <w:b/>
                <w:szCs w:val="21"/>
              </w:rPr>
            </w:pPr>
            <w:r>
              <w:rPr>
                <w:rFonts w:hint="eastAsia" w:ascii="宋体" w:hAnsi="宋体" w:cs="仿宋"/>
                <w:b/>
                <w:szCs w:val="21"/>
              </w:rPr>
              <w:t>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序号</w:t>
            </w:r>
          </w:p>
        </w:tc>
        <w:tc>
          <w:tcPr>
            <w:tcW w:w="1143"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内容</w:t>
            </w:r>
          </w:p>
        </w:tc>
        <w:tc>
          <w:tcPr>
            <w:tcW w:w="709"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权重</w:t>
            </w:r>
          </w:p>
        </w:tc>
        <w:tc>
          <w:tcPr>
            <w:tcW w:w="5953"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评分规则</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0" w:hRule="atLeast"/>
          <w:jc w:val="center"/>
        </w:trPr>
        <w:tc>
          <w:tcPr>
            <w:tcW w:w="754"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1</w:t>
            </w:r>
          </w:p>
        </w:tc>
        <w:tc>
          <w:tcPr>
            <w:tcW w:w="1143" w:type="dxa"/>
            <w:vAlign w:val="center"/>
          </w:tcPr>
          <w:p>
            <w:pPr>
              <w:widowControl/>
              <w:spacing w:line="360" w:lineRule="auto"/>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pPr>
              <w:widowControl/>
              <w:spacing w:line="360" w:lineRule="auto"/>
              <w:jc w:val="center"/>
              <w:rPr>
                <w:rFonts w:ascii="宋体" w:hAnsi="宋体" w:cs="仿宋"/>
                <w:kern w:val="0"/>
                <w:szCs w:val="21"/>
              </w:rPr>
            </w:pPr>
            <w:r>
              <w:rPr>
                <w:rFonts w:hint="eastAsia" w:ascii="宋体" w:hAnsi="宋体" w:cs="仿宋"/>
                <w:kern w:val="0"/>
                <w:szCs w:val="21"/>
              </w:rPr>
              <w:t>38</w:t>
            </w:r>
          </w:p>
        </w:tc>
        <w:tc>
          <w:tcPr>
            <w:tcW w:w="5953" w:type="dxa"/>
            <w:vAlign w:val="center"/>
          </w:tcPr>
          <w:p>
            <w:pPr>
              <w:pStyle w:val="95"/>
              <w:spacing w:line="360" w:lineRule="auto"/>
              <w:ind w:firstLine="0" w:firstLineChars="0"/>
              <w:rPr>
                <w:rFonts w:ascii="宋体" w:hAnsi="宋体"/>
                <w:szCs w:val="21"/>
              </w:rPr>
            </w:pPr>
            <w:r>
              <w:rPr>
                <w:rFonts w:hint="eastAsia" w:ascii="宋体" w:hAnsi="宋体"/>
                <w:szCs w:val="21"/>
              </w:rPr>
              <w:t>（一）评分内容：</w:t>
            </w:r>
          </w:p>
          <w:p>
            <w:pPr>
              <w:spacing w:line="360" w:lineRule="auto"/>
              <w:jc w:val="left"/>
              <w:rPr>
                <w:rFonts w:ascii="宋体" w:hAnsi="宋体" w:cs="仿宋"/>
                <w:szCs w:val="21"/>
              </w:rPr>
            </w:pPr>
            <w:r>
              <w:rPr>
                <w:rFonts w:hint="eastAsia" w:ascii="宋体" w:hAnsi="宋体" w:cs="仿宋"/>
                <w:szCs w:val="21"/>
              </w:rPr>
              <w:t>投标人应如实填写《技术规格偏离表》，各项技术参数指标及要求全部满足的得38分；“▲”参数为重要指标，每负偏离一项扣4分；其余指标每负偏离一项扣1.5分，</w:t>
            </w:r>
            <w:r>
              <w:rPr>
                <w:rFonts w:hint="eastAsia" w:ascii="宋体" w:hAnsi="宋体"/>
                <w:bCs/>
                <w:szCs w:val="21"/>
              </w:rPr>
              <w:t>最低0分</w:t>
            </w:r>
            <w:r>
              <w:rPr>
                <w:rFonts w:hint="eastAsia" w:ascii="宋体" w:hAnsi="宋体" w:cs="仿宋"/>
                <w:szCs w:val="21"/>
              </w:rPr>
              <w:t>。技术参数如有细分项，扣分按细分项条数算。</w:t>
            </w:r>
          </w:p>
          <w:p>
            <w:pPr>
              <w:autoSpaceDE w:val="0"/>
              <w:autoSpaceDN w:val="0"/>
              <w:adjustRightInd w:val="0"/>
              <w:spacing w:line="360" w:lineRule="auto"/>
              <w:jc w:val="left"/>
              <w:rPr>
                <w:rFonts w:ascii="宋体" w:hAnsi="宋体"/>
                <w:kern w:val="0"/>
                <w:szCs w:val="21"/>
              </w:rPr>
            </w:pP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（二）评分依据：</w:t>
            </w:r>
          </w:p>
          <w:p>
            <w:pPr>
              <w:spacing w:line="360" w:lineRule="auto"/>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hint="eastAsia" w:ascii="宋体" w:hAnsi="宋体"/>
                <w:szCs w:val="21"/>
              </w:rPr>
              <w:t>对于不同货物的技术要求中的相同项不满足时按一项不满足进行扣分，不对某一项技术要求重复扣分。</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auto"/>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auto"/>
              <w:jc w:val="center"/>
              <w:rPr>
                <w:rFonts w:ascii="宋体" w:hAnsi="宋体" w:cs="仿宋"/>
                <w:szCs w:val="21"/>
              </w:rPr>
            </w:pPr>
            <w:r>
              <w:rPr>
                <w:rFonts w:hint="eastAsia" w:ascii="宋体" w:hAnsi="宋体" w:cs="宋体"/>
                <w:kern w:val="0"/>
                <w:szCs w:val="21"/>
              </w:rPr>
              <w:t>技术保障措施</w:t>
            </w:r>
          </w:p>
        </w:tc>
        <w:tc>
          <w:tcPr>
            <w:tcW w:w="709" w:type="dxa"/>
            <w:vAlign w:val="center"/>
          </w:tcPr>
          <w:p>
            <w:pPr>
              <w:spacing w:line="360" w:lineRule="auto"/>
              <w:jc w:val="center"/>
              <w:rPr>
                <w:rFonts w:ascii="宋体" w:hAnsi="宋体" w:cs="仿宋"/>
                <w:szCs w:val="21"/>
              </w:rPr>
            </w:pPr>
            <w:r>
              <w:rPr>
                <w:rFonts w:hint="eastAsia" w:ascii="宋体" w:hAnsi="宋体" w:cs="仿宋"/>
                <w:szCs w:val="21"/>
              </w:rPr>
              <w:t>8</w:t>
            </w:r>
          </w:p>
        </w:tc>
        <w:tc>
          <w:tcPr>
            <w:tcW w:w="5953" w:type="dxa"/>
            <w:vAlign w:val="center"/>
          </w:tcPr>
          <w:p>
            <w:pPr>
              <w:pStyle w:val="95"/>
              <w:spacing w:line="360" w:lineRule="auto"/>
              <w:ind w:firstLine="0" w:firstLineChars="0"/>
              <w:rPr>
                <w:rFonts w:ascii="宋体" w:hAnsi="宋体"/>
                <w:szCs w:val="21"/>
              </w:rPr>
            </w:pPr>
            <w:r>
              <w:rPr>
                <w:rFonts w:hint="eastAsia" w:ascii="宋体" w:hAnsi="宋体"/>
                <w:szCs w:val="21"/>
              </w:rPr>
              <w:t>（一）评分内容：</w:t>
            </w:r>
          </w:p>
          <w:p>
            <w:pPr>
              <w:spacing w:line="360" w:lineRule="auto"/>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宋体" w:hAnsi="宋体" w:cs="宋体"/>
                <w:szCs w:val="21"/>
              </w:rPr>
              <w:t>包括但不限于技术团队和技术方案</w:t>
            </w:r>
            <w:r>
              <w:rPr>
                <w:rFonts w:ascii="宋体" w:hAnsi="宋体" w:cs="仿宋"/>
                <w:szCs w:val="21"/>
              </w:rPr>
              <w:t>）</w:t>
            </w:r>
            <w:r>
              <w:rPr>
                <w:rFonts w:hint="eastAsia" w:ascii="宋体" w:hAnsi="宋体" w:cs="仿宋"/>
                <w:szCs w:val="21"/>
              </w:rPr>
              <w:t>，根据响应情况进行评审：</w:t>
            </w:r>
          </w:p>
          <w:p>
            <w:pPr>
              <w:spacing w:line="360" w:lineRule="auto"/>
              <w:jc w:val="left"/>
              <w:rPr>
                <w:rFonts w:ascii="宋体" w:hAnsi="宋体" w:cs="仿宋"/>
                <w:szCs w:val="21"/>
              </w:rPr>
            </w:pPr>
            <w:r>
              <w:rPr>
                <w:rFonts w:hint="eastAsia" w:ascii="宋体" w:hAnsi="宋体" w:cs="仿宋"/>
                <w:szCs w:val="21"/>
              </w:rPr>
              <w:t>投标人根据本项目的需求制定</w:t>
            </w:r>
            <w:r>
              <w:rPr>
                <w:rFonts w:hint="eastAsia" w:ascii="宋体" w:hAnsi="宋体" w:cs="宋体"/>
                <w:kern w:val="0"/>
                <w:szCs w:val="21"/>
              </w:rPr>
              <w:t>技术保障措施</w:t>
            </w:r>
            <w:r>
              <w:rPr>
                <w:rFonts w:hint="eastAsia"/>
              </w:rPr>
              <w:t>，</w:t>
            </w:r>
            <w:r>
              <w:rPr>
                <w:rFonts w:hint="eastAsia" w:ascii="宋体" w:hAnsi="宋体" w:cs="仿宋"/>
                <w:szCs w:val="21"/>
              </w:rPr>
              <w:t>根据响应情况进行评审：</w:t>
            </w:r>
          </w:p>
          <w:p>
            <w:pPr>
              <w:spacing w:line="360" w:lineRule="auto"/>
              <w:jc w:val="left"/>
              <w:rPr>
                <w:rFonts w:ascii="宋体" w:hAnsi="宋体" w:cs="仿宋"/>
                <w:szCs w:val="21"/>
              </w:rPr>
            </w:pPr>
            <w:r>
              <w:rPr>
                <w:rFonts w:hint="eastAsia" w:ascii="宋体" w:hAnsi="宋体" w:cs="仿宋"/>
                <w:szCs w:val="21"/>
              </w:rPr>
              <w:t>（1）</w:t>
            </w:r>
            <w:r>
              <w:rPr>
                <w:rFonts w:hint="eastAsia" w:ascii="宋体" w:hAnsi="宋体" w:cs="宋体"/>
                <w:kern w:val="0"/>
                <w:szCs w:val="21"/>
              </w:rPr>
              <w:t>方案内容包含“</w:t>
            </w:r>
            <w:r>
              <w:rPr>
                <w:rFonts w:hint="eastAsia" w:ascii="宋体" w:hAnsi="宋体" w:cs="宋体"/>
                <w:szCs w:val="21"/>
              </w:rPr>
              <w:t>技术团队人员配置情况</w:t>
            </w:r>
            <w:r>
              <w:rPr>
                <w:rFonts w:hint="eastAsia" w:ascii="宋体" w:hAnsi="宋体" w:cs="宋体"/>
                <w:kern w:val="0"/>
                <w:szCs w:val="21"/>
              </w:rPr>
              <w:t>”</w:t>
            </w:r>
            <w:r>
              <w:rPr>
                <w:rFonts w:hint="eastAsia" w:ascii="宋体" w:hAnsi="宋体" w:cs="仿宋"/>
                <w:szCs w:val="21"/>
              </w:rPr>
              <w:t>；</w:t>
            </w:r>
          </w:p>
          <w:p>
            <w:pPr>
              <w:spacing w:line="360" w:lineRule="auto"/>
              <w:jc w:val="left"/>
              <w:rPr>
                <w:rFonts w:ascii="宋体" w:hAnsi="宋体" w:cs="仿宋"/>
                <w:szCs w:val="21"/>
              </w:rPr>
            </w:pPr>
            <w:r>
              <w:rPr>
                <w:rFonts w:hint="eastAsia" w:ascii="宋体" w:hAnsi="宋体" w:cs="仿宋"/>
                <w:szCs w:val="21"/>
              </w:rPr>
              <w:t>（2）</w:t>
            </w:r>
            <w:r>
              <w:rPr>
                <w:rFonts w:hint="eastAsia" w:ascii="宋体" w:hAnsi="宋体" w:cs="宋体"/>
                <w:kern w:val="0"/>
                <w:szCs w:val="21"/>
              </w:rPr>
              <w:t>方案内容包含</w:t>
            </w:r>
            <w:r>
              <w:rPr>
                <w:rFonts w:hint="eastAsia" w:ascii="宋体" w:hAnsi="宋体" w:cs="宋体"/>
                <w:color w:val="000000" w:themeColor="text1"/>
                <w:szCs w:val="21"/>
                <w14:textFill>
                  <w14:solidFill>
                    <w14:schemeClr w14:val="tx1"/>
                  </w14:solidFill>
                </w14:textFill>
              </w:rPr>
              <w:t>“项目需求</w:t>
            </w:r>
            <w:r>
              <w:rPr>
                <w:rFonts w:hint="eastAsia" w:ascii="宋体" w:hAnsi="宋体" w:cs="宋体"/>
                <w:szCs w:val="21"/>
              </w:rPr>
              <w:t>理解和技术措施</w:t>
            </w:r>
            <w:r>
              <w:rPr>
                <w:rFonts w:hint="eastAsia" w:ascii="宋体" w:hAnsi="宋体" w:cs="宋体"/>
                <w:color w:val="000000" w:themeColor="text1"/>
                <w:szCs w:val="21"/>
                <w14:textFill>
                  <w14:solidFill>
                    <w14:schemeClr w14:val="tx1"/>
                  </w14:solidFill>
                </w14:textFill>
              </w:rPr>
              <w:t>”。</w:t>
            </w:r>
          </w:p>
          <w:p>
            <w:pPr>
              <w:autoSpaceDE w:val="0"/>
              <w:autoSpaceDN w:val="0"/>
              <w:adjustRightInd w:val="0"/>
              <w:spacing w:line="360" w:lineRule="auto"/>
              <w:jc w:val="left"/>
              <w:rPr>
                <w:rFonts w:ascii="宋体" w:hAnsi="宋体"/>
                <w:kern w:val="0"/>
                <w:szCs w:val="21"/>
              </w:rPr>
            </w:pP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（二）评分标准：</w:t>
            </w:r>
          </w:p>
          <w:p>
            <w:pPr>
              <w:pStyle w:val="95"/>
              <w:spacing w:line="360" w:lineRule="auto"/>
              <w:ind w:firstLine="0" w:firstLineChars="0"/>
              <w:rPr>
                <w:rFonts w:ascii="宋体" w:hAnsi="宋体" w:cs="宋体"/>
                <w:kern w:val="0"/>
                <w:szCs w:val="21"/>
              </w:rPr>
            </w:pPr>
            <w:r>
              <w:rPr>
                <w:rFonts w:hint="eastAsia" w:ascii="宋体" w:hAnsi="宋体" w:cs="宋体"/>
                <w:kern w:val="0"/>
                <w:szCs w:val="21"/>
              </w:rPr>
              <w:t>技术保障措施</w:t>
            </w:r>
            <w:r>
              <w:rPr>
                <w:rFonts w:hint="eastAsia"/>
              </w:rPr>
              <w:t>包含</w:t>
            </w:r>
            <w:r>
              <w:rPr>
                <w:rFonts w:hint="eastAsia" w:ascii="宋体" w:hAnsi="宋体" w:cs="宋体"/>
                <w:kern w:val="0"/>
                <w:szCs w:val="21"/>
              </w:rPr>
              <w:t>以上全部内容得4分，满足其中任意一项得2分，其他情况不得分。评标委员会根据投标人提供的以上方案内容具体情况进行评审：</w:t>
            </w:r>
          </w:p>
          <w:p>
            <w:pPr>
              <w:pStyle w:val="95"/>
              <w:spacing w:line="360" w:lineRule="auto"/>
              <w:ind w:firstLine="0" w:firstLineChars="0"/>
              <w:rPr>
                <w:rFonts w:ascii="宋体" w:hAnsi="宋体"/>
                <w:szCs w:val="21"/>
              </w:rPr>
            </w:pPr>
            <w:r>
              <w:rPr>
                <w:rFonts w:hint="eastAsia" w:ascii="宋体" w:hAnsi="宋体"/>
                <w:szCs w:val="21"/>
              </w:rPr>
              <w:t>1.方案内容全面、具体，可行性高，加4分；</w:t>
            </w:r>
          </w:p>
          <w:p>
            <w:pPr>
              <w:pStyle w:val="95"/>
              <w:spacing w:line="360" w:lineRule="auto"/>
              <w:ind w:firstLine="0" w:firstLineChars="0"/>
              <w:rPr>
                <w:rFonts w:ascii="宋体" w:hAnsi="宋体"/>
                <w:szCs w:val="21"/>
              </w:rPr>
            </w:pPr>
            <w:r>
              <w:rPr>
                <w:rFonts w:hint="eastAsia" w:ascii="宋体" w:hAnsi="宋体"/>
                <w:szCs w:val="21"/>
              </w:rPr>
              <w:t>2.方案内容较全面，可行性较高，加2分；</w:t>
            </w:r>
          </w:p>
          <w:p>
            <w:pPr>
              <w:pStyle w:val="95"/>
              <w:spacing w:line="360" w:lineRule="auto"/>
              <w:ind w:firstLine="0" w:firstLineChars="0"/>
              <w:rPr>
                <w:rFonts w:ascii="宋体" w:hAnsi="宋体"/>
                <w:szCs w:val="21"/>
              </w:rPr>
            </w:pPr>
            <w:r>
              <w:rPr>
                <w:rFonts w:hint="eastAsia" w:ascii="宋体" w:hAnsi="宋体"/>
                <w:szCs w:val="21"/>
              </w:rPr>
              <w:t>3.方案全面性、可行性一般，加1分；</w:t>
            </w:r>
          </w:p>
          <w:p>
            <w:pPr>
              <w:spacing w:line="360" w:lineRule="auto"/>
              <w:jc w:val="left"/>
              <w:rPr>
                <w:rFonts w:ascii="宋体" w:hAnsi="宋体" w:cs="仿宋"/>
                <w:szCs w:val="21"/>
              </w:rPr>
            </w:pPr>
            <w:r>
              <w:rPr>
                <w:rFonts w:hint="eastAsia" w:ascii="宋体" w:hAnsi="宋体"/>
                <w:szCs w:val="21"/>
              </w:rPr>
              <w:t>4.方案不全，可行性低，不加分。</w:t>
            </w:r>
          </w:p>
        </w:tc>
        <w:tc>
          <w:tcPr>
            <w:tcW w:w="1187" w:type="dxa"/>
            <w:vAlign w:val="center"/>
          </w:tcPr>
          <w:p>
            <w:pPr>
              <w:spacing w:line="360" w:lineRule="auto"/>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754" w:type="dxa"/>
            <w:vAlign w:val="center"/>
          </w:tcPr>
          <w:p>
            <w:pPr>
              <w:widowControl/>
              <w:snapToGrid w:val="0"/>
              <w:spacing w:line="360" w:lineRule="auto"/>
              <w:jc w:val="center"/>
              <w:rPr>
                <w:rFonts w:ascii="宋体" w:hAnsi="宋体"/>
                <w:kern w:val="0"/>
                <w:szCs w:val="21"/>
              </w:rPr>
            </w:pPr>
            <w:r>
              <w:rPr>
                <w:rFonts w:hint="eastAsia" w:ascii="宋体" w:hAnsi="宋体"/>
                <w:kern w:val="0"/>
                <w:szCs w:val="21"/>
              </w:rPr>
              <w:t>3</w:t>
            </w:r>
          </w:p>
        </w:tc>
        <w:tc>
          <w:tcPr>
            <w:tcW w:w="1143" w:type="dxa"/>
            <w:vAlign w:val="center"/>
          </w:tcPr>
          <w:p>
            <w:pPr>
              <w:widowControl/>
              <w:spacing w:line="360" w:lineRule="auto"/>
              <w:jc w:val="center"/>
              <w:rPr>
                <w:rFonts w:ascii="宋体" w:hAnsi="宋体" w:cs="宋体"/>
                <w:szCs w:val="21"/>
              </w:rPr>
            </w:pPr>
            <w:r>
              <w:rPr>
                <w:rFonts w:hint="eastAsia"/>
              </w:rPr>
              <w:t>售后服务方案</w:t>
            </w:r>
          </w:p>
        </w:tc>
        <w:tc>
          <w:tcPr>
            <w:tcW w:w="70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8</w:t>
            </w:r>
          </w:p>
        </w:tc>
        <w:tc>
          <w:tcPr>
            <w:tcW w:w="5953" w:type="dxa"/>
            <w:vAlign w:val="center"/>
          </w:tcPr>
          <w:p>
            <w:pPr>
              <w:pStyle w:val="95"/>
              <w:spacing w:line="360" w:lineRule="auto"/>
              <w:ind w:firstLine="0" w:firstLineChars="0"/>
              <w:rPr>
                <w:rFonts w:ascii="宋体" w:hAnsi="宋体"/>
                <w:szCs w:val="21"/>
              </w:rPr>
            </w:pPr>
            <w:r>
              <w:rPr>
                <w:rFonts w:hint="eastAsia" w:ascii="宋体" w:hAnsi="宋体"/>
                <w:szCs w:val="21"/>
              </w:rPr>
              <w:t>（一）评分内容：</w:t>
            </w:r>
          </w:p>
          <w:p>
            <w:pPr>
              <w:widowControl/>
              <w:spacing w:line="360" w:lineRule="auto"/>
              <w:rPr>
                <w:rFonts w:ascii="宋体" w:hAnsi="宋体" w:cs="仿宋"/>
                <w:szCs w:val="21"/>
              </w:rPr>
            </w:pPr>
            <w:r>
              <w:rPr>
                <w:rFonts w:hint="eastAsia" w:ascii="宋体" w:hAnsi="宋体" w:cs="仿宋"/>
                <w:szCs w:val="21"/>
              </w:rPr>
              <w:t>投标人根据本项目的需求制定</w:t>
            </w:r>
            <w:r>
              <w:rPr>
                <w:rFonts w:hint="eastAsia"/>
              </w:rPr>
              <w:t>售后服务方案，</w:t>
            </w:r>
            <w:r>
              <w:rPr>
                <w:rFonts w:hint="eastAsia" w:ascii="宋体" w:hAnsi="宋体" w:cs="仿宋"/>
                <w:szCs w:val="21"/>
              </w:rPr>
              <w:t>根据响应情况进行评审：</w:t>
            </w:r>
          </w:p>
          <w:p>
            <w:pPr>
              <w:widowControl/>
              <w:spacing w:line="360" w:lineRule="auto"/>
              <w:rPr>
                <w:rFonts w:ascii="宋体" w:hAnsi="宋体" w:cs="仿宋"/>
                <w:szCs w:val="21"/>
              </w:rPr>
            </w:pPr>
            <w:r>
              <w:rPr>
                <w:rFonts w:hint="eastAsia" w:ascii="宋体" w:hAnsi="宋体" w:cs="仿宋"/>
                <w:szCs w:val="21"/>
              </w:rPr>
              <w:t>（1）</w:t>
            </w:r>
            <w:r>
              <w:rPr>
                <w:rFonts w:hint="eastAsia" w:ascii="宋体" w:hAnsi="宋体" w:cs="宋体"/>
                <w:kern w:val="0"/>
                <w:szCs w:val="21"/>
              </w:rPr>
              <w:t>方案内容包含“</w:t>
            </w:r>
            <w:r>
              <w:rPr>
                <w:rFonts w:hint="eastAsia" w:ascii="宋体" w:hAnsi="宋体" w:cs="仿宋"/>
                <w:szCs w:val="21"/>
              </w:rPr>
              <w:t>售后服务机构及维护人员配置</w:t>
            </w:r>
            <w:r>
              <w:rPr>
                <w:rFonts w:hint="eastAsia" w:ascii="宋体" w:hAnsi="宋体" w:cs="宋体"/>
                <w:kern w:val="0"/>
                <w:szCs w:val="21"/>
              </w:rPr>
              <w:t>”</w:t>
            </w:r>
            <w:r>
              <w:rPr>
                <w:rFonts w:hint="eastAsia" w:ascii="宋体" w:hAnsi="宋体" w:cs="仿宋"/>
                <w:szCs w:val="21"/>
              </w:rPr>
              <w:t>；</w:t>
            </w:r>
          </w:p>
          <w:p>
            <w:pPr>
              <w:widowControl/>
              <w:spacing w:line="360" w:lineRule="auto"/>
              <w:rPr>
                <w:rFonts w:ascii="宋体" w:hAnsi="宋体" w:cs="仿宋"/>
                <w:szCs w:val="21"/>
              </w:rPr>
            </w:pPr>
            <w:r>
              <w:rPr>
                <w:rFonts w:hint="eastAsia" w:ascii="宋体" w:hAnsi="宋体" w:cs="仿宋"/>
                <w:szCs w:val="21"/>
              </w:rPr>
              <w:t>（2）</w:t>
            </w:r>
            <w:r>
              <w:rPr>
                <w:rFonts w:hint="eastAsia" w:ascii="宋体" w:hAnsi="宋体" w:cs="宋体"/>
                <w:kern w:val="0"/>
                <w:szCs w:val="21"/>
              </w:rPr>
              <w:t>方案内容包含“</w:t>
            </w:r>
            <w:r>
              <w:rPr>
                <w:rFonts w:hint="eastAsia" w:ascii="宋体" w:hAnsi="宋体" w:cs="仿宋"/>
                <w:szCs w:val="21"/>
              </w:rPr>
              <w:t>技术培训方案</w:t>
            </w:r>
            <w:r>
              <w:rPr>
                <w:rFonts w:hint="eastAsia" w:ascii="宋体" w:hAnsi="宋体" w:cs="宋体"/>
                <w:kern w:val="0"/>
                <w:szCs w:val="21"/>
              </w:rPr>
              <w:t>”</w:t>
            </w:r>
            <w:r>
              <w:rPr>
                <w:rFonts w:hint="eastAsia" w:ascii="宋体" w:hAnsi="宋体" w:cs="仿宋"/>
                <w:szCs w:val="21"/>
              </w:rPr>
              <w:t>；</w:t>
            </w:r>
          </w:p>
          <w:p>
            <w:pPr>
              <w:widowControl/>
              <w:spacing w:line="360" w:lineRule="auto"/>
              <w:rPr>
                <w:rFonts w:ascii="宋体" w:hAnsi="宋体" w:cs="仿宋"/>
                <w:szCs w:val="21"/>
              </w:rPr>
            </w:pPr>
            <w:r>
              <w:rPr>
                <w:rFonts w:hint="eastAsia" w:ascii="宋体" w:hAnsi="宋体" w:cs="仿宋"/>
                <w:szCs w:val="21"/>
              </w:rPr>
              <w:t>（3）</w:t>
            </w:r>
            <w:r>
              <w:rPr>
                <w:rFonts w:hint="eastAsia" w:ascii="宋体" w:hAnsi="宋体" w:cs="宋体"/>
                <w:kern w:val="0"/>
                <w:szCs w:val="21"/>
              </w:rPr>
              <w:t>方案内容包含</w:t>
            </w:r>
            <w:r>
              <w:rPr>
                <w:rFonts w:hint="eastAsia" w:ascii="宋体" w:hAnsi="宋体" w:cs="仿宋"/>
                <w:szCs w:val="21"/>
              </w:rPr>
              <w:t>“故障响应时间及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（二）评分标准：</w:t>
            </w:r>
          </w:p>
          <w:p>
            <w:pPr>
              <w:pStyle w:val="95"/>
              <w:spacing w:line="360" w:lineRule="auto"/>
              <w:ind w:firstLine="0" w:firstLineChars="0"/>
              <w:rPr>
                <w:rFonts w:ascii="宋体" w:hAnsi="宋体" w:cs="宋体"/>
                <w:kern w:val="0"/>
                <w:szCs w:val="21"/>
              </w:rPr>
            </w:pPr>
            <w:r>
              <w:rPr>
                <w:rFonts w:hint="eastAsia"/>
              </w:rPr>
              <w:t>售后服务方案包含</w:t>
            </w:r>
            <w:r>
              <w:rPr>
                <w:rFonts w:hint="eastAsia" w:ascii="宋体" w:hAnsi="宋体" w:cs="宋体"/>
                <w:kern w:val="0"/>
                <w:szCs w:val="21"/>
              </w:rPr>
              <w:t>以上全部内容得</w:t>
            </w:r>
            <w:r>
              <w:rPr>
                <w:rFonts w:hint="eastAsia" w:ascii="宋体" w:hAnsi="宋体" w:cs="宋体"/>
                <w:kern w:val="0"/>
                <w:szCs w:val="21"/>
                <w:lang w:val="en-US" w:eastAsia="zh-CN"/>
              </w:rPr>
              <w:t>3</w:t>
            </w:r>
            <w:r>
              <w:rPr>
                <w:rFonts w:hint="eastAsia" w:ascii="宋体" w:hAnsi="宋体" w:cs="宋体"/>
                <w:kern w:val="0"/>
                <w:szCs w:val="21"/>
              </w:rPr>
              <w:t>分，满足其中任意二项得</w:t>
            </w:r>
            <w:r>
              <w:rPr>
                <w:rFonts w:hint="eastAsia" w:ascii="宋体" w:hAnsi="宋体" w:cs="宋体"/>
                <w:kern w:val="0"/>
                <w:szCs w:val="21"/>
                <w:lang w:val="en-US" w:eastAsia="zh-CN"/>
              </w:rPr>
              <w:t>2</w:t>
            </w:r>
            <w:r>
              <w:rPr>
                <w:rFonts w:hint="eastAsia" w:ascii="宋体" w:hAnsi="宋体" w:cs="宋体"/>
                <w:kern w:val="0"/>
                <w:szCs w:val="21"/>
              </w:rPr>
              <w:t>分，满足其中任意一项得1分，其他情况不得分。评标委员会根据投标人提供的以上方案内容具体情况进行评审：</w:t>
            </w:r>
          </w:p>
          <w:p>
            <w:pPr>
              <w:pStyle w:val="95"/>
              <w:spacing w:line="360" w:lineRule="auto"/>
              <w:ind w:firstLine="0" w:firstLineChars="0"/>
              <w:rPr>
                <w:rFonts w:ascii="宋体" w:hAnsi="宋体"/>
                <w:szCs w:val="21"/>
              </w:rPr>
            </w:pPr>
            <w:r>
              <w:rPr>
                <w:rFonts w:hint="eastAsia" w:ascii="宋体" w:hAnsi="宋体"/>
                <w:szCs w:val="21"/>
              </w:rPr>
              <w:t>1.方案内容全面、具体，可行性高，加</w:t>
            </w:r>
            <w:r>
              <w:rPr>
                <w:rFonts w:hint="eastAsia" w:ascii="宋体" w:hAnsi="宋体"/>
                <w:szCs w:val="21"/>
                <w:lang w:val="en-US" w:eastAsia="zh-CN"/>
              </w:rPr>
              <w:t>5</w:t>
            </w:r>
            <w:r>
              <w:rPr>
                <w:rFonts w:hint="eastAsia" w:ascii="宋体" w:hAnsi="宋体"/>
                <w:szCs w:val="21"/>
              </w:rPr>
              <w:t>分；</w:t>
            </w:r>
          </w:p>
          <w:p>
            <w:pPr>
              <w:pStyle w:val="95"/>
              <w:spacing w:line="360" w:lineRule="auto"/>
              <w:ind w:firstLine="0" w:firstLineChars="0"/>
              <w:rPr>
                <w:rFonts w:ascii="宋体" w:hAnsi="宋体"/>
                <w:szCs w:val="21"/>
              </w:rPr>
            </w:pPr>
            <w:r>
              <w:rPr>
                <w:rFonts w:hint="eastAsia" w:ascii="宋体" w:hAnsi="宋体"/>
                <w:szCs w:val="21"/>
              </w:rPr>
              <w:t>2.方案内容较全面，可行性较高，加</w:t>
            </w:r>
            <w:r>
              <w:rPr>
                <w:rFonts w:hint="eastAsia" w:ascii="宋体" w:hAnsi="宋体"/>
                <w:szCs w:val="21"/>
                <w:lang w:val="en-US" w:eastAsia="zh-CN"/>
              </w:rPr>
              <w:t>3</w:t>
            </w:r>
            <w:r>
              <w:rPr>
                <w:rFonts w:hint="eastAsia" w:ascii="宋体" w:hAnsi="宋体"/>
                <w:szCs w:val="21"/>
              </w:rPr>
              <w:t>分；</w:t>
            </w:r>
          </w:p>
          <w:p>
            <w:pPr>
              <w:pStyle w:val="95"/>
              <w:spacing w:line="360" w:lineRule="auto"/>
              <w:ind w:firstLine="0" w:firstLineChars="0"/>
              <w:rPr>
                <w:rFonts w:ascii="宋体" w:hAnsi="宋体"/>
                <w:szCs w:val="21"/>
              </w:rPr>
            </w:pPr>
            <w:r>
              <w:rPr>
                <w:rFonts w:hint="eastAsia" w:ascii="宋体" w:hAnsi="宋体"/>
                <w:szCs w:val="21"/>
              </w:rPr>
              <w:t>3.方案全面性、可行性一般，加1分；</w:t>
            </w:r>
          </w:p>
          <w:p>
            <w:pPr>
              <w:pStyle w:val="95"/>
              <w:spacing w:line="360" w:lineRule="auto"/>
              <w:ind w:firstLine="0" w:firstLineChars="0"/>
              <w:rPr>
                <w:rFonts w:ascii="宋体" w:hAnsi="宋体"/>
                <w:szCs w:val="21"/>
              </w:rPr>
            </w:pPr>
            <w:r>
              <w:rPr>
                <w:rFonts w:hint="eastAsia" w:ascii="宋体" w:hAnsi="宋体"/>
                <w:szCs w:val="21"/>
              </w:rPr>
              <w:t>4.方案不全，可行性低，不加分。</w:t>
            </w:r>
          </w:p>
        </w:tc>
        <w:tc>
          <w:tcPr>
            <w:tcW w:w="1187" w:type="dxa"/>
            <w:vAlign w:val="center"/>
          </w:tcPr>
          <w:p>
            <w:pPr>
              <w:spacing w:line="360" w:lineRule="auto"/>
              <w:jc w:val="center"/>
              <w:rPr>
                <w:rFonts w:ascii="宋体" w:hAnsi="宋体" w:cs="仿宋"/>
                <w:szCs w:val="21"/>
                <w:lang w:val="zh-CN"/>
              </w:rPr>
            </w:pPr>
            <w:r>
              <w:rPr>
                <w:rFonts w:hint="eastAsia" w:ascii="宋体" w:hAnsi="宋体" w:cs="仿宋"/>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auto"/>
              <w:jc w:val="center"/>
              <w:rPr>
                <w:rFonts w:ascii="宋体" w:hAnsi="宋体" w:cs="仿宋"/>
                <w:b/>
                <w:szCs w:val="21"/>
              </w:rPr>
            </w:pPr>
            <w:r>
              <w:rPr>
                <w:rFonts w:hint="eastAsia" w:ascii="宋体" w:hAnsi="宋体" w:cs="仿宋"/>
                <w:b/>
                <w:szCs w:val="21"/>
                <w:lang w:val="zh-CN"/>
              </w:rPr>
              <w:t>三、商务部分</w:t>
            </w:r>
          </w:p>
        </w:tc>
        <w:tc>
          <w:tcPr>
            <w:tcW w:w="1187" w:type="dxa"/>
            <w:vAlign w:val="center"/>
          </w:tcPr>
          <w:p>
            <w:pPr>
              <w:autoSpaceDE w:val="0"/>
              <w:autoSpaceDN w:val="0"/>
              <w:adjustRightInd w:val="0"/>
              <w:spacing w:line="360" w:lineRule="auto"/>
              <w:jc w:val="center"/>
              <w:rPr>
                <w:rFonts w:ascii="宋体" w:hAnsi="宋体" w:cs="仿宋"/>
                <w:b/>
                <w:szCs w:val="21"/>
              </w:rPr>
            </w:pPr>
            <w:r>
              <w:rPr>
                <w:rFonts w:hint="eastAsia" w:ascii="宋体" w:hAnsi="宋体" w:cs="仿宋"/>
                <w:b/>
                <w:szCs w:val="21"/>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序号</w:t>
            </w:r>
          </w:p>
        </w:tc>
        <w:tc>
          <w:tcPr>
            <w:tcW w:w="1143"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内容</w:t>
            </w:r>
          </w:p>
        </w:tc>
        <w:tc>
          <w:tcPr>
            <w:tcW w:w="709"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权重</w:t>
            </w:r>
          </w:p>
        </w:tc>
        <w:tc>
          <w:tcPr>
            <w:tcW w:w="5953"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评分规则</w:t>
            </w:r>
          </w:p>
        </w:tc>
        <w:tc>
          <w:tcPr>
            <w:tcW w:w="1187" w:type="dxa"/>
            <w:vAlign w:val="center"/>
          </w:tcPr>
          <w:p>
            <w:pPr>
              <w:autoSpaceDE w:val="0"/>
              <w:autoSpaceDN w:val="0"/>
              <w:adjustRightInd w:val="0"/>
              <w:spacing w:line="360" w:lineRule="auto"/>
              <w:jc w:val="center"/>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4" w:type="dxa"/>
            <w:vAlign w:val="center"/>
          </w:tcPr>
          <w:p>
            <w:pPr>
              <w:autoSpaceDE w:val="0"/>
              <w:autoSpaceDN w:val="0"/>
              <w:adjustRightInd w:val="0"/>
              <w:spacing w:line="360" w:lineRule="auto"/>
              <w:jc w:val="center"/>
              <w:rPr>
                <w:rFonts w:ascii="宋体" w:hAnsi="宋体" w:cs="仿宋"/>
                <w:szCs w:val="21"/>
                <w:lang w:val="zh-CN"/>
              </w:rPr>
            </w:pPr>
            <w:r>
              <w:rPr>
                <w:rFonts w:hint="eastAsia" w:ascii="宋体" w:hAnsi="宋体" w:cs="仿宋"/>
                <w:szCs w:val="21"/>
                <w:lang w:val="zh-CN"/>
              </w:rPr>
              <w:t>1</w:t>
            </w:r>
          </w:p>
        </w:tc>
        <w:tc>
          <w:tcPr>
            <w:tcW w:w="1143" w:type="dxa"/>
            <w:vAlign w:val="center"/>
          </w:tcPr>
          <w:p>
            <w:pPr>
              <w:widowControl/>
              <w:spacing w:line="360" w:lineRule="auto"/>
              <w:jc w:val="center"/>
              <w:rPr>
                <w:rFonts w:ascii="宋体" w:hAnsi="宋体" w:cs="仿宋"/>
                <w:kern w:val="0"/>
                <w:szCs w:val="21"/>
              </w:rPr>
            </w:pPr>
            <w:r>
              <w:rPr>
                <w:rFonts w:hint="eastAsia" w:ascii="宋体" w:hAnsi="宋体" w:cs="仿宋"/>
                <w:kern w:val="0"/>
                <w:szCs w:val="21"/>
              </w:rPr>
              <w:t>商务款偏离情况</w:t>
            </w:r>
          </w:p>
        </w:tc>
        <w:tc>
          <w:tcPr>
            <w:tcW w:w="709" w:type="dxa"/>
            <w:vAlign w:val="center"/>
          </w:tcPr>
          <w:p>
            <w:pPr>
              <w:widowControl/>
              <w:spacing w:line="360" w:lineRule="auto"/>
              <w:jc w:val="center"/>
              <w:rPr>
                <w:rFonts w:ascii="宋体" w:hAnsi="宋体" w:cs="仿宋"/>
                <w:kern w:val="0"/>
                <w:szCs w:val="21"/>
              </w:rPr>
            </w:pPr>
            <w:r>
              <w:rPr>
                <w:rFonts w:hint="eastAsia" w:ascii="宋体" w:hAnsi="宋体" w:cs="仿宋"/>
                <w:kern w:val="0"/>
                <w:szCs w:val="21"/>
              </w:rPr>
              <w:t>8</w:t>
            </w:r>
          </w:p>
        </w:tc>
        <w:tc>
          <w:tcPr>
            <w:tcW w:w="5953" w:type="dxa"/>
            <w:vAlign w:val="center"/>
          </w:tcPr>
          <w:p>
            <w:pPr>
              <w:autoSpaceDE w:val="0"/>
              <w:autoSpaceDN w:val="0"/>
              <w:adjustRightInd w:val="0"/>
              <w:spacing w:line="360" w:lineRule="auto"/>
              <w:jc w:val="left"/>
              <w:rPr>
                <w:rFonts w:ascii="宋体" w:hAnsi="宋体" w:cs="仿宋"/>
                <w:szCs w:val="21"/>
                <w:lang w:val="zh-CN"/>
              </w:rPr>
            </w:pPr>
            <w:r>
              <w:rPr>
                <w:rFonts w:hint="eastAsia" w:ascii="宋体" w:hAnsi="宋体" w:cs="仿宋"/>
                <w:szCs w:val="21"/>
                <w:lang w:val="zh-CN"/>
              </w:rPr>
              <w:t>投标人应如实填写《商务条款偏离表》，评审委员会根据</w:t>
            </w:r>
            <w:r>
              <w:rPr>
                <w:rFonts w:hint="eastAsia" w:ascii="宋体" w:hAnsi="宋体" w:cs="仿宋"/>
                <w:szCs w:val="21"/>
              </w:rPr>
              <w:t>商务</w:t>
            </w:r>
            <w:r>
              <w:rPr>
                <w:rFonts w:hint="eastAsia" w:ascii="宋体" w:hAnsi="宋体" w:cs="仿宋"/>
                <w:szCs w:val="21"/>
                <w:lang w:val="zh-CN"/>
              </w:rPr>
              <w:t>条款响应情况进行评审（商务要求中包含细项条款的，按细项条款响应情况逐项评分）。</w:t>
            </w:r>
          </w:p>
          <w:p>
            <w:pPr>
              <w:autoSpaceDE w:val="0"/>
              <w:autoSpaceDN w:val="0"/>
              <w:adjustRightInd w:val="0"/>
              <w:spacing w:line="360" w:lineRule="auto"/>
              <w:jc w:val="left"/>
              <w:rPr>
                <w:rFonts w:ascii="宋体" w:hAnsi="宋体" w:cs="仿宋"/>
                <w:szCs w:val="21"/>
                <w:lang w:val="zh-CN"/>
              </w:rPr>
            </w:pPr>
            <w:r>
              <w:rPr>
                <w:rFonts w:hint="eastAsia" w:ascii="宋体" w:hAnsi="宋体" w:cs="仿宋"/>
                <w:szCs w:val="21"/>
                <w:lang w:val="zh-CN"/>
              </w:rPr>
              <w:t>（1）免费保修期在满足招标要求的基础上，每增加一年得1分，最高得2分。</w:t>
            </w:r>
          </w:p>
          <w:p>
            <w:pPr>
              <w:autoSpaceDE w:val="0"/>
              <w:autoSpaceDN w:val="0"/>
              <w:adjustRightInd w:val="0"/>
              <w:spacing w:line="360" w:lineRule="auto"/>
              <w:jc w:val="left"/>
              <w:rPr>
                <w:rFonts w:ascii="宋体" w:hAnsi="宋体" w:cs="仿宋"/>
                <w:szCs w:val="21"/>
                <w:lang w:val="zh-CN"/>
              </w:rPr>
            </w:pPr>
            <w:r>
              <w:rPr>
                <w:rFonts w:hint="eastAsia" w:ascii="宋体" w:hAnsi="宋体" w:cs="仿宋"/>
                <w:szCs w:val="21"/>
                <w:lang w:val="zh-CN"/>
              </w:rPr>
              <w:t>（2）其它要求全部满足的得</w:t>
            </w:r>
            <w:r>
              <w:rPr>
                <w:rFonts w:hint="eastAsia" w:ascii="宋体" w:hAnsi="宋体" w:cs="仿宋"/>
                <w:szCs w:val="21"/>
                <w:lang w:val="en-US" w:eastAsia="zh-CN"/>
              </w:rPr>
              <w:t>6</w:t>
            </w:r>
            <w:r>
              <w:rPr>
                <w:rFonts w:hint="eastAsia" w:ascii="宋体" w:hAnsi="宋体" w:cs="仿宋"/>
                <w:szCs w:val="21"/>
                <w:lang w:val="zh-CN"/>
              </w:rPr>
              <w:t>分，否则不得分。</w:t>
            </w:r>
          </w:p>
          <w:p>
            <w:pPr>
              <w:autoSpaceDE w:val="0"/>
              <w:autoSpaceDN w:val="0"/>
              <w:adjustRightInd w:val="0"/>
              <w:spacing w:line="360" w:lineRule="auto"/>
              <w:jc w:val="left"/>
              <w:rPr>
                <w:rFonts w:ascii="宋体" w:hAnsi="宋体" w:cs="仿宋"/>
                <w:szCs w:val="21"/>
                <w:lang w:val="zh-CN"/>
              </w:rPr>
            </w:pPr>
            <w:r>
              <w:rPr>
                <w:rFonts w:hint="eastAsia" w:ascii="宋体" w:hAnsi="宋体" w:cs="仿宋"/>
                <w:szCs w:val="21"/>
              </w:rPr>
              <w:t>注：</w:t>
            </w:r>
            <w:r>
              <w:rPr>
                <w:rFonts w:hint="eastAsia" w:ascii="宋体" w:hAnsi="宋体" w:cs="仿宋"/>
                <w:szCs w:val="21"/>
                <w:lang w:val="zh-CN"/>
              </w:rPr>
              <w:t>以上累计满分为</w:t>
            </w:r>
            <w:r>
              <w:rPr>
                <w:rFonts w:hint="eastAsia" w:ascii="宋体" w:hAnsi="宋体" w:cs="仿宋"/>
                <w:szCs w:val="21"/>
              </w:rPr>
              <w:t>8</w:t>
            </w:r>
            <w:r>
              <w:rPr>
                <w:rFonts w:hint="eastAsia" w:ascii="宋体" w:hAnsi="宋体" w:cs="仿宋"/>
                <w:szCs w:val="21"/>
                <w:lang w:val="zh-CN"/>
              </w:rPr>
              <w:t>分。</w:t>
            </w:r>
          </w:p>
        </w:tc>
        <w:tc>
          <w:tcPr>
            <w:tcW w:w="1187" w:type="dxa"/>
            <w:vAlign w:val="center"/>
          </w:tcPr>
          <w:p>
            <w:pPr>
              <w:autoSpaceDE w:val="0"/>
              <w:autoSpaceDN w:val="0"/>
              <w:adjustRightInd w:val="0"/>
              <w:spacing w:line="360" w:lineRule="auto"/>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754" w:type="dxa"/>
            <w:vAlign w:val="center"/>
          </w:tcPr>
          <w:p>
            <w:pPr>
              <w:autoSpaceDE w:val="0"/>
              <w:autoSpaceDN w:val="0"/>
              <w:adjustRightInd w:val="0"/>
              <w:spacing w:line="360" w:lineRule="auto"/>
              <w:jc w:val="center"/>
              <w:rPr>
                <w:rFonts w:ascii="宋体" w:hAnsi="宋体" w:cs="仿宋"/>
                <w:szCs w:val="21"/>
                <w:lang w:val="zh-CN"/>
              </w:rPr>
            </w:pPr>
            <w:r>
              <w:rPr>
                <w:rFonts w:hint="eastAsia" w:ascii="宋体" w:hAnsi="宋体" w:cs="仿宋"/>
                <w:szCs w:val="21"/>
              </w:rPr>
              <w:t>2</w:t>
            </w:r>
          </w:p>
        </w:tc>
        <w:tc>
          <w:tcPr>
            <w:tcW w:w="1143" w:type="dxa"/>
            <w:vAlign w:val="center"/>
          </w:tcPr>
          <w:p>
            <w:pPr>
              <w:spacing w:line="360" w:lineRule="auto"/>
              <w:jc w:val="center"/>
              <w:rPr>
                <w:rFonts w:ascii="宋体" w:hAnsi="宋体" w:cs="宋体"/>
                <w:kern w:val="0"/>
                <w:szCs w:val="21"/>
              </w:rPr>
            </w:pPr>
            <w:r>
              <w:rPr>
                <w:rFonts w:hint="eastAsia" w:ascii="宋体" w:hAnsi="宋体" w:cs="宋体"/>
                <w:color w:val="000000"/>
                <w:kern w:val="0"/>
                <w:szCs w:val="21"/>
              </w:rPr>
              <w:t>同类项目业绩情况</w:t>
            </w:r>
          </w:p>
        </w:tc>
        <w:tc>
          <w:tcPr>
            <w:tcW w:w="709" w:type="dxa"/>
            <w:vAlign w:val="center"/>
          </w:tcPr>
          <w:p>
            <w:pPr>
              <w:spacing w:line="360" w:lineRule="auto"/>
              <w:jc w:val="center"/>
              <w:rPr>
                <w:rFonts w:ascii="宋体" w:hAnsi="宋体" w:cs="仿宋"/>
                <w:szCs w:val="21"/>
              </w:rPr>
            </w:pPr>
            <w:r>
              <w:rPr>
                <w:rFonts w:hint="eastAsia" w:ascii="宋体" w:hAnsi="宋体" w:cs="仿宋"/>
                <w:szCs w:val="21"/>
              </w:rPr>
              <w:t>3</w:t>
            </w:r>
          </w:p>
        </w:tc>
        <w:tc>
          <w:tcPr>
            <w:tcW w:w="5953" w:type="dxa"/>
            <w:vAlign w:val="center"/>
          </w:tcPr>
          <w:p>
            <w:pPr>
              <w:pStyle w:val="95"/>
              <w:spacing w:line="360" w:lineRule="auto"/>
              <w:ind w:firstLine="0" w:firstLineChars="0"/>
              <w:rPr>
                <w:rFonts w:ascii="宋体" w:hAnsi="宋体"/>
                <w:szCs w:val="21"/>
              </w:rPr>
            </w:pPr>
            <w:r>
              <w:rPr>
                <w:rFonts w:hint="eastAsia" w:ascii="宋体" w:hAnsi="宋体"/>
                <w:szCs w:val="21"/>
              </w:rPr>
              <w:t>（一）评分内容：</w:t>
            </w:r>
          </w:p>
          <w:p>
            <w:pPr>
              <w:widowControl/>
              <w:spacing w:line="360" w:lineRule="auto"/>
              <w:rPr>
                <w:rFonts w:ascii="宋体" w:hAnsi="宋体" w:cs="仿宋"/>
                <w:szCs w:val="21"/>
              </w:rPr>
            </w:pPr>
            <w:r>
              <w:rPr>
                <w:rFonts w:ascii="宋体" w:hAnsi="宋体" w:cs="仿宋"/>
                <w:szCs w:val="21"/>
              </w:rPr>
              <w:t>投标人近</w:t>
            </w:r>
            <w:r>
              <w:rPr>
                <w:rFonts w:hint="eastAsia" w:ascii="宋体" w:hAnsi="宋体" w:cs="仿宋"/>
                <w:szCs w:val="21"/>
              </w:rPr>
              <w:t>三</w:t>
            </w:r>
            <w:r>
              <w:rPr>
                <w:rFonts w:ascii="宋体" w:hAnsi="宋体" w:cs="仿宋"/>
                <w:szCs w:val="21"/>
              </w:rPr>
              <w:t>年（以合同签订时间签订为准,从20</w:t>
            </w:r>
            <w:r>
              <w:rPr>
                <w:rFonts w:hint="eastAsia" w:ascii="宋体" w:hAnsi="宋体" w:cs="仿宋"/>
                <w:szCs w:val="21"/>
              </w:rPr>
              <w:t>20</w:t>
            </w:r>
            <w:r>
              <w:rPr>
                <w:rFonts w:ascii="宋体" w:hAnsi="宋体" w:cs="仿宋"/>
                <w:szCs w:val="21"/>
              </w:rPr>
              <w:t>年1月1日开始，截止日为本项目</w:t>
            </w:r>
            <w:r>
              <w:rPr>
                <w:rFonts w:hint="eastAsia"/>
              </w:rPr>
              <w:t>投标截止日</w:t>
            </w:r>
            <w:r>
              <w:rPr>
                <w:rFonts w:ascii="宋体" w:hAnsi="宋体" w:cs="仿宋"/>
                <w:szCs w:val="21"/>
              </w:rPr>
              <w:t>），</w:t>
            </w:r>
            <w:r>
              <w:rPr>
                <w:rFonts w:hint="eastAsia" w:ascii="宋体" w:hAnsi="宋体" w:cs="宋体"/>
                <w:szCs w:val="21"/>
              </w:rPr>
              <w:t>具有</w:t>
            </w:r>
            <w:r>
              <w:rPr>
                <w:rFonts w:hint="eastAsia" w:ascii="宋体" w:hAnsi="宋体" w:cs="宋体"/>
                <w:bCs/>
                <w:szCs w:val="21"/>
              </w:rPr>
              <w:t>同类项目业绩的</w:t>
            </w:r>
            <w:r>
              <w:rPr>
                <w:rFonts w:hint="eastAsia" w:ascii="宋体" w:hAnsi="宋体" w:cs="宋体"/>
                <w:bCs/>
                <w:szCs w:val="21"/>
                <w:lang w:eastAsia="zh-CN"/>
              </w:rPr>
              <w:t>，</w:t>
            </w:r>
            <w:r>
              <w:rPr>
                <w:rFonts w:ascii="宋体" w:hAnsi="宋体" w:cs="仿宋"/>
                <w:szCs w:val="21"/>
              </w:rPr>
              <w:t>每提供一个有效业绩得</w:t>
            </w:r>
            <w:r>
              <w:rPr>
                <w:rFonts w:hint="eastAsia" w:ascii="宋体" w:hAnsi="宋体" w:cs="仿宋"/>
                <w:szCs w:val="21"/>
              </w:rPr>
              <w:t>1分</w:t>
            </w:r>
            <w:r>
              <w:rPr>
                <w:rFonts w:ascii="宋体" w:hAnsi="宋体" w:cs="仿宋"/>
                <w:szCs w:val="21"/>
              </w:rPr>
              <w:t>，本项得分最高得</w:t>
            </w:r>
            <w:r>
              <w:rPr>
                <w:rFonts w:hint="eastAsia" w:ascii="宋体" w:hAnsi="宋体" w:cs="仿宋"/>
                <w:szCs w:val="21"/>
              </w:rPr>
              <w:t>3分</w:t>
            </w:r>
            <w:r>
              <w:rPr>
                <w:rFonts w:ascii="宋体" w:hAnsi="宋体" w:cs="仿宋"/>
                <w:szCs w:val="21"/>
              </w:rPr>
              <w:t>。</w:t>
            </w:r>
          </w:p>
          <w:p>
            <w:pPr>
              <w:autoSpaceDE w:val="0"/>
              <w:autoSpaceDN w:val="0"/>
              <w:adjustRightInd w:val="0"/>
              <w:spacing w:line="360" w:lineRule="auto"/>
              <w:jc w:val="left"/>
              <w:rPr>
                <w:rFonts w:hint="eastAsia" w:ascii="宋体" w:hAnsi="宋体"/>
                <w:kern w:val="0"/>
                <w:szCs w:val="21"/>
              </w:rPr>
            </w:pP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（二）评分依据：</w:t>
            </w:r>
          </w:p>
          <w:p>
            <w:pPr>
              <w:widowControl/>
              <w:spacing w:line="360" w:lineRule="auto"/>
              <w:rPr>
                <w:rFonts w:ascii="宋体" w:hAnsi="宋体" w:cs="宋体"/>
                <w:kern w:val="0"/>
                <w:szCs w:val="21"/>
              </w:rPr>
            </w:pPr>
            <w:r>
              <w:rPr>
                <w:rFonts w:hint="eastAsia" w:ascii="宋体" w:hAnsi="宋体" w:cs="宋体"/>
                <w:kern w:val="0"/>
                <w:szCs w:val="21"/>
              </w:rPr>
              <w:t>1.提供合同关键页</w:t>
            </w:r>
            <w:r>
              <w:rPr>
                <w:rFonts w:ascii="宋体" w:hAnsi="宋体" w:cs="宋体"/>
                <w:kern w:val="0"/>
                <w:szCs w:val="21"/>
              </w:rPr>
              <w:t>（关键信息包括但不仅限于合同的项目名称、服务内容、合同服务期限、合同签订日期</w:t>
            </w:r>
            <w:r>
              <w:rPr>
                <w:rFonts w:hint="eastAsia" w:ascii="宋体" w:hAnsi="宋体" w:cs="宋体"/>
                <w:kern w:val="0"/>
                <w:szCs w:val="21"/>
              </w:rPr>
              <w:t>、</w:t>
            </w:r>
            <w:r>
              <w:rPr>
                <w:rFonts w:ascii="宋体" w:hAnsi="宋体" w:cs="宋体"/>
                <w:kern w:val="0"/>
                <w:szCs w:val="21"/>
              </w:rPr>
              <w:t>甲乙双方签字盖章页）</w:t>
            </w:r>
            <w:r>
              <w:rPr>
                <w:rFonts w:hint="eastAsia" w:ascii="宋体" w:hAnsi="宋体" w:cs="宋体"/>
                <w:kern w:val="0"/>
                <w:szCs w:val="21"/>
              </w:rPr>
              <w:t>且提供的材料各项信息不得有任何遮挡；</w:t>
            </w:r>
          </w:p>
          <w:p>
            <w:pPr>
              <w:widowControl/>
              <w:spacing w:line="360" w:lineRule="auto"/>
              <w:rPr>
                <w:rFonts w:ascii="宋体" w:hAnsi="宋体" w:cs="宋体"/>
                <w:kern w:val="0"/>
                <w:szCs w:val="21"/>
              </w:rPr>
            </w:pPr>
            <w:r>
              <w:rPr>
                <w:rFonts w:hint="eastAsia" w:ascii="宋体" w:hAnsi="宋体" w:cs="宋体"/>
                <w:kern w:val="0"/>
                <w:szCs w:val="21"/>
              </w:rPr>
              <w:t>2.通过合同关键信息无法判断是否得分的，也可以提供能证明得分的其它证明资料，如项目报告或合同甲方出具的证明文件；</w:t>
            </w:r>
          </w:p>
          <w:p>
            <w:pPr>
              <w:widowControl/>
              <w:spacing w:line="360" w:lineRule="auto"/>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.提供以上证明文件复印件或扫描件，均要求加盖投标人公章,原件备查。未按要求提供有效证明材料或提供不清晰导致评委无法识别的不计得分。</w:t>
            </w:r>
          </w:p>
        </w:tc>
        <w:tc>
          <w:tcPr>
            <w:tcW w:w="1187" w:type="dxa"/>
            <w:vAlign w:val="center"/>
          </w:tcPr>
          <w:p>
            <w:pPr>
              <w:spacing w:line="360" w:lineRule="auto"/>
              <w:jc w:val="center"/>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auto"/>
              <w:jc w:val="center"/>
              <w:rPr>
                <w:rFonts w:ascii="宋体" w:hAnsi="宋体" w:cs="仿宋"/>
                <w:szCs w:val="21"/>
                <w:lang w:val="zh-CN"/>
              </w:rPr>
            </w:pPr>
            <w:r>
              <w:rPr>
                <w:rFonts w:hint="eastAsia" w:ascii="宋体" w:hAnsi="宋体" w:cs="仿宋"/>
                <w:szCs w:val="21"/>
              </w:rPr>
              <w:t>3</w:t>
            </w:r>
          </w:p>
        </w:tc>
        <w:tc>
          <w:tcPr>
            <w:tcW w:w="1143" w:type="dxa"/>
            <w:vAlign w:val="center"/>
          </w:tcPr>
          <w:p>
            <w:pPr>
              <w:spacing w:line="360" w:lineRule="auto"/>
              <w:jc w:val="center"/>
              <w:rPr>
                <w:rFonts w:ascii="宋体" w:hAnsi="宋体" w:cs="仿宋"/>
                <w:szCs w:val="21"/>
              </w:rPr>
            </w:pPr>
            <w:r>
              <w:rPr>
                <w:rFonts w:hint="eastAsia" w:ascii="宋体" w:hAnsi="宋体" w:cs="仿宋"/>
                <w:szCs w:val="21"/>
              </w:rPr>
              <w:t>诚信评审</w:t>
            </w:r>
          </w:p>
        </w:tc>
        <w:tc>
          <w:tcPr>
            <w:tcW w:w="709" w:type="dxa"/>
            <w:vAlign w:val="center"/>
          </w:tcPr>
          <w:p>
            <w:pPr>
              <w:spacing w:line="360" w:lineRule="auto"/>
              <w:jc w:val="center"/>
              <w:rPr>
                <w:rFonts w:ascii="宋体" w:hAnsi="宋体" w:cs="仿宋"/>
                <w:szCs w:val="21"/>
              </w:rPr>
            </w:pPr>
            <w:r>
              <w:rPr>
                <w:rFonts w:hint="eastAsia" w:ascii="宋体" w:hAnsi="宋体" w:cs="仿宋"/>
                <w:szCs w:val="21"/>
              </w:rPr>
              <w:t>5</w:t>
            </w:r>
          </w:p>
        </w:tc>
        <w:tc>
          <w:tcPr>
            <w:tcW w:w="5953" w:type="dxa"/>
            <w:vAlign w:val="center"/>
          </w:tcPr>
          <w:p>
            <w:pPr>
              <w:pStyle w:val="95"/>
              <w:spacing w:line="360" w:lineRule="auto"/>
              <w:ind w:firstLine="0" w:firstLineChars="0"/>
              <w:rPr>
                <w:rFonts w:ascii="宋体" w:hAnsi="宋体"/>
                <w:szCs w:val="21"/>
              </w:rPr>
            </w:pPr>
            <w:r>
              <w:rPr>
                <w:rFonts w:hint="eastAsia" w:ascii="宋体" w:hAnsi="宋体"/>
                <w:szCs w:val="21"/>
              </w:rPr>
              <w:t>（一）评分内容：</w:t>
            </w:r>
          </w:p>
          <w:p>
            <w:pPr>
              <w:adjustRightInd w:val="0"/>
              <w:snapToGrid w:val="0"/>
              <w:spacing w:line="360" w:lineRule="auto"/>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autoSpaceDE w:val="0"/>
              <w:autoSpaceDN w:val="0"/>
              <w:adjustRightInd w:val="0"/>
              <w:spacing w:line="360" w:lineRule="auto"/>
              <w:jc w:val="left"/>
              <w:rPr>
                <w:rFonts w:ascii="宋体" w:hAnsi="宋体"/>
                <w:kern w:val="0"/>
                <w:szCs w:val="21"/>
              </w:rPr>
            </w:pP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（二）评分依据：</w:t>
            </w:r>
          </w:p>
          <w:p>
            <w:pPr>
              <w:tabs>
                <w:tab w:val="left" w:pos="175"/>
              </w:tabs>
              <w:spacing w:line="360" w:lineRule="auto"/>
              <w:ind w:left="33"/>
              <w:jc w:val="left"/>
              <w:rPr>
                <w:rFonts w:ascii="宋体" w:hAnsi="宋体" w:cs="仿宋"/>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c>
          <w:tcPr>
            <w:tcW w:w="1187" w:type="dxa"/>
            <w:vAlign w:val="center"/>
          </w:tcPr>
          <w:p>
            <w:pPr>
              <w:spacing w:line="360" w:lineRule="auto"/>
              <w:jc w:val="center"/>
              <w:rPr>
                <w:rFonts w:ascii="宋体" w:hAnsi="宋体" w:cs="仿宋"/>
                <w:szCs w:val="21"/>
                <w:lang w:val="zh-CN"/>
              </w:rPr>
            </w:pPr>
            <w:r>
              <w:rPr>
                <w:rFonts w:hint="eastAsia" w:ascii="宋体" w:hAnsi="宋体" w:cs="仿宋"/>
                <w:szCs w:val="21"/>
                <w:lang w:val="zh-CN"/>
              </w:rPr>
              <w:t>专家打分</w:t>
            </w:r>
          </w:p>
        </w:tc>
      </w:tr>
    </w:tbl>
    <w:p>
      <w:pPr>
        <w:pStyle w:val="4"/>
        <w:spacing w:before="0" w:after="0"/>
        <w:jc w:val="left"/>
        <w:rPr>
          <w:rFonts w:asciiTheme="minorEastAsia" w:hAnsiTheme="minorEastAsia"/>
          <w:bCs w:val="0"/>
          <w:sz w:val="21"/>
          <w:szCs w:val="21"/>
        </w:rPr>
      </w:pPr>
      <w:bookmarkStart w:id="10" w:name="_Toc44691162"/>
      <w:bookmarkStart w:id="11" w:name="_Toc44690430"/>
      <w:bookmarkStart w:id="12" w:name="_Toc11512"/>
      <w:bookmarkStart w:id="13" w:name="_Toc44691394"/>
      <w:bookmarkStart w:id="14" w:name="_Toc44690703"/>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22485"/>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6" w:name="_Toc14006"/>
      <w:r>
        <w:rPr>
          <w:rFonts w:hint="eastAsia" w:asciiTheme="minorEastAsia" w:hAnsiTheme="minorEastAsia" w:eastAsiaTheme="minorEastAsia"/>
        </w:rPr>
        <w:t>2、政府采购扶持政策</w:t>
      </w:r>
      <w:bookmarkEnd w:id="16"/>
    </w:p>
    <w:p>
      <w:pPr>
        <w:adjustRightInd w:val="0"/>
        <w:snapToGrid w:val="0"/>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。对于同时属于小微企业、监狱企业或残疾人福利性单位的，不重复进行投标报价扣除。</w:t>
      </w:r>
    </w:p>
    <w:p>
      <w:pPr>
        <w:adjustRightInd w:val="0"/>
        <w:snapToGrid w:val="0"/>
        <w:spacing w:line="360" w:lineRule="auto"/>
        <w:ind w:firstLine="426" w:firstLineChars="202"/>
        <w:rPr>
          <w:rFonts w:asciiTheme="minorEastAsia" w:hAnsiTheme="minorEastAsia" w:eastAsiaTheme="minorEastAsia"/>
          <w:szCs w:val="21"/>
        </w:rPr>
      </w:pPr>
      <w:r>
        <w:rPr>
          <w:rFonts w:hint="eastAsia" w:ascii="宋体" w:hAnsi="宋体"/>
          <w:b/>
          <w:szCs w:val="21"/>
          <w:highlight w:val="yellow"/>
        </w:rPr>
        <w:t>本项目所属行业为</w:t>
      </w:r>
      <w:r>
        <w:rPr>
          <w:rFonts w:hint="eastAsia" w:ascii="宋体" w:hAnsi="宋体"/>
          <w:b/>
          <w:szCs w:val="21"/>
          <w:highlight w:val="yellow"/>
          <w:u w:val="single"/>
        </w:rPr>
        <w:t xml:space="preserve">  工业  </w:t>
      </w:r>
      <w:r>
        <w:rPr>
          <w:rFonts w:hint="eastAsia" w:ascii="宋体" w:hAnsi="宋体"/>
          <w:b/>
          <w:szCs w:val="21"/>
          <w:highlight w:val="yellow"/>
        </w:rPr>
        <w:t>。</w:t>
      </w:r>
      <w:r>
        <w:rPr>
          <w:rFonts w:hint="eastAsia" w:ascii="宋体" w:hAnsi="宋体"/>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adjustRightInd w:val="0"/>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联合体各方均为小型、微型企业、监狱企业和</w:t>
      </w:r>
      <w:r>
        <w:rPr>
          <w:rFonts w:hint="eastAsia" w:ascii="宋体" w:hAnsi="宋体"/>
        </w:rPr>
        <w:t>残疾人福利性单位</w:t>
      </w:r>
      <w:r>
        <w:rPr>
          <w:rFonts w:hint="eastAsia" w:asciiTheme="minorEastAsia" w:hAnsiTheme="minorEastAsia" w:eastAsiaTheme="minorEastAsia"/>
        </w:rPr>
        <w:t>的，联合体视同为小型、微型企业、监狱企业和</w:t>
      </w:r>
      <w:r>
        <w:rPr>
          <w:rFonts w:hint="eastAsia" w:ascii="宋体" w:hAnsi="宋体"/>
        </w:rPr>
        <w:t>残疾人福利性单位</w:t>
      </w:r>
      <w:r>
        <w:rPr>
          <w:rFonts w:hint="eastAsia" w:asciiTheme="minorEastAsia" w:hAnsiTheme="minorEastAsia" w:eastAsiaTheme="minorEastAsia"/>
        </w:rPr>
        <w:t>，均享受</w:t>
      </w:r>
      <w:r>
        <w:rPr>
          <w:rFonts w:hint="eastAsia" w:asciiTheme="minorEastAsia" w:hAnsiTheme="minorEastAsia" w:eastAsiaTheme="minorEastAsia"/>
          <w:b/>
          <w:bCs/>
        </w:rPr>
        <w:t>本章政府采购扶持政策第一款</w:t>
      </w:r>
      <w:r>
        <w:rPr>
          <w:rFonts w:hint="eastAsia" w:asciiTheme="minorEastAsia" w:hAnsiTheme="minorEastAsia" w:eastAsiaTheme="minorEastAsia"/>
        </w:rPr>
        <w:t>的优惠政策。</w:t>
      </w:r>
    </w:p>
    <w:p>
      <w:pPr>
        <w:spacing w:line="360" w:lineRule="auto"/>
        <w:ind w:firstLine="424" w:firstLineChars="202"/>
        <w:jc w:val="left"/>
        <w:rPr>
          <w:rFonts w:asciiTheme="minorEastAsia" w:hAnsiTheme="minorEastAsia" w:eastAsiaTheme="minorEastAsia"/>
        </w:rPr>
      </w:pPr>
      <w:r>
        <w:rPr>
          <w:rFonts w:hint="eastAsia" w:asciiTheme="minorEastAsia" w:hAnsiTheme="minorEastAsia" w:eastAsiaTheme="minorEastAsia"/>
        </w:rPr>
        <w:t>（3）优惠主体资格的认定资料为《中小企业声明函》、《残疾人福利性单位声明函》以及《监狱企业声明函》等承诺性质的资料（格式详见招标文件第三章）；监狱企业或者代理提供监狱企业货物的供应商如须享受优惠政策，除上述资料外，还须提供省级以上监狱管理局、戒毒管理局出具的监狱企业证明文件。</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（4）投标产品属于《关于调整优化节能产品环境标志产品政府采购执行机制的通知》（财库〔2019〕9号）、《关于印发环境标志产品政府采购品目清单的通知》（财库〔2019〕18号）和《关于印发节能产品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对符合条件的获证产品（强制采购产品除外）</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r>
        <w:rPr>
          <w:rFonts w:hint="eastAsia" w:asciiTheme="minorEastAsia" w:hAnsiTheme="minorEastAsia" w:eastAsiaTheme="minorEastAsia"/>
          <w:szCs w:val="21"/>
        </w:rPr>
        <w:t>。</w:t>
      </w:r>
    </w:p>
    <w:p>
      <w:pPr>
        <w:spacing w:line="360" w:lineRule="auto"/>
        <w:ind w:firstLine="424" w:firstLineChars="202"/>
        <w:jc w:val="left"/>
        <w:rPr>
          <w:rFonts w:asciiTheme="minorEastAsia" w:hAnsiTheme="minorEastAsia" w:eastAsiaTheme="minorEastAsia"/>
          <w:szCs w:val="21"/>
        </w:rPr>
      </w:pPr>
    </w:p>
    <w:p/>
    <w:p>
      <w:pPr>
        <w:widowControl/>
        <w:jc w:val="left"/>
        <w:rPr>
          <w:sz w:val="32"/>
        </w:rPr>
      </w:pPr>
      <w:r>
        <w:rPr>
          <w:rFonts w:eastAsiaTheme="minorEastAsia"/>
          <w:b/>
          <w:kern w:val="44"/>
          <w:sz w:val="32"/>
          <w:szCs w:val="28"/>
        </w:rPr>
        <w:br w:type="page"/>
      </w:r>
    </w:p>
    <w:p>
      <w:pPr>
        <w:widowControl/>
        <w:jc w:val="left"/>
        <w:rPr>
          <w:rFonts w:eastAsiaTheme="minorEastAsia"/>
          <w:b/>
          <w:kern w:val="44"/>
          <w:sz w:val="32"/>
          <w:szCs w:val="28"/>
        </w:rPr>
      </w:pPr>
    </w:p>
    <w:p>
      <w:pPr>
        <w:pStyle w:val="2"/>
        <w:spacing w:beforeLines="50"/>
      </w:pPr>
      <w:bookmarkStart w:id="17" w:name="_Toc30812"/>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rPr>
                <w:rFonts w:hint="eastAsia" w:eastAsia="宋体"/>
                <w:lang w:eastAsia="zh-CN"/>
              </w:rPr>
            </w:pPr>
            <w:r>
              <w:rPr>
                <w:rFonts w:hint="eastAsia" w:asciiTheme="minorEastAsia" w:hAnsiTheme="minorEastAsia" w:eastAsiaTheme="minorEastAsia"/>
                <w:lang w:eastAsia="zh-CN"/>
              </w:rPr>
              <w:t>核酸快速检测系统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napToGrid w:val="0"/>
                <w:szCs w:val="21"/>
              </w:rPr>
              <w:t>深圳市第三人民医院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rPr>
              <w:sym w:font="Wingdings 2" w:char="0052"/>
            </w:r>
            <w:r>
              <w:rPr>
                <w:rFonts w:hint="eastAsia" w:hAnsi="宋体"/>
              </w:rPr>
              <w:t>财政资金/</w:t>
            </w:r>
            <w:r>
              <w:rPr>
                <w:rFonts w:hint="eastAsia" w:hAnsi="宋体"/>
              </w:rPr>
              <w:sym w:font="Wingdings 2" w:char="00A3"/>
            </w:r>
            <w:r>
              <w:rPr>
                <w:rFonts w:hint="eastAsia" w:hAnsi="宋体"/>
              </w:rPr>
              <w:t>自筹资金/</w:t>
            </w:r>
            <w:r>
              <w:rPr>
                <w:rFonts w:hint="eastAsia" w:hAnsi="宋体"/>
              </w:rPr>
              <w:sym w:font="Wingdings 2" w:char="00A3"/>
            </w:r>
            <w:r>
              <w:rPr>
                <w:rFonts w:hint="eastAsia" w:hAnsi="宋体"/>
              </w:rPr>
              <w:t>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b/>
              </w:rPr>
            </w:pPr>
            <w:r>
              <w:rPr>
                <w:rFonts w:hAnsi="宋体"/>
                <w:b/>
              </w:rPr>
              <w:t>时间：</w:t>
            </w:r>
            <w:r>
              <w:rPr>
                <w:rFonts w:hint="eastAsia" w:hAnsi="宋体"/>
                <w:b/>
                <w:snapToGrid w:val="0"/>
                <w:szCs w:val="18"/>
              </w:rPr>
              <w:t>2023年</w:t>
            </w:r>
            <w:r>
              <w:rPr>
                <w:rFonts w:hint="eastAsia" w:hAnsi="宋体"/>
                <w:b/>
                <w:snapToGrid w:val="0"/>
                <w:szCs w:val="18"/>
                <w:lang w:val="en-US" w:eastAsia="zh-CN"/>
              </w:rPr>
              <w:t>08</w:t>
            </w:r>
            <w:r>
              <w:rPr>
                <w:rFonts w:hint="eastAsia" w:hAnsi="宋体"/>
                <w:b/>
                <w:snapToGrid w:val="0"/>
                <w:szCs w:val="18"/>
              </w:rPr>
              <w:t>月</w:t>
            </w:r>
            <w:r>
              <w:rPr>
                <w:rFonts w:hint="eastAsia" w:hAnsi="宋体"/>
                <w:b/>
                <w:snapToGrid w:val="0"/>
                <w:szCs w:val="18"/>
                <w:lang w:val="en-US" w:eastAsia="zh-CN"/>
              </w:rPr>
              <w:t>21</w:t>
            </w:r>
            <w:r>
              <w:rPr>
                <w:rFonts w:hint="eastAsia" w:hAnsi="宋体"/>
                <w:b/>
                <w:snapToGrid w:val="0"/>
                <w:szCs w:val="18"/>
              </w:rPr>
              <w:t>日</w:t>
            </w:r>
            <w:r>
              <w:rPr>
                <w:rFonts w:hint="eastAsia" w:hAnsi="宋体"/>
                <w:b/>
                <w:snapToGrid w:val="0"/>
                <w:szCs w:val="18"/>
                <w:lang w:val="en-US" w:eastAsia="zh-CN"/>
              </w:rPr>
              <w:t>15</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Ansi="宋体"/>
                <w:b/>
              </w:rPr>
              <w:t>（北京时间）</w:t>
            </w:r>
          </w:p>
          <w:p>
            <w:pPr>
              <w:pStyle w:val="26"/>
              <w:spacing w:line="360" w:lineRule="auto"/>
              <w:rPr>
                <w:rFonts w:hAnsi="宋体"/>
              </w:rPr>
            </w:pPr>
            <w:r>
              <w:rPr>
                <w:rFonts w:hAnsi="宋体"/>
              </w:rPr>
              <w:t>地点：</w:t>
            </w:r>
            <w:r>
              <w:rPr>
                <w:rFonts w:hint="eastAsia" w:hAnsi="宋体"/>
                <w:snapToGrid w:val="0"/>
              </w:rPr>
              <w:t>深圳市福田区民田路171号新华保险大厦903中正招标会议室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b/>
                <w:snapToGrid w:val="0"/>
                <w:szCs w:val="18"/>
              </w:rPr>
              <w:t>2023年</w:t>
            </w:r>
            <w:r>
              <w:rPr>
                <w:rFonts w:hint="eastAsia" w:hAnsi="宋体"/>
                <w:b/>
                <w:snapToGrid w:val="0"/>
                <w:szCs w:val="18"/>
                <w:lang w:val="en-US" w:eastAsia="zh-CN"/>
              </w:rPr>
              <w:t>08</w:t>
            </w:r>
            <w:r>
              <w:rPr>
                <w:rFonts w:hint="eastAsia" w:hAnsi="宋体"/>
                <w:b/>
                <w:snapToGrid w:val="0"/>
                <w:szCs w:val="18"/>
              </w:rPr>
              <w:t>月</w:t>
            </w:r>
            <w:r>
              <w:rPr>
                <w:rFonts w:hint="eastAsia" w:hAnsi="宋体"/>
                <w:b/>
                <w:snapToGrid w:val="0"/>
                <w:szCs w:val="18"/>
                <w:lang w:val="en-US" w:eastAsia="zh-CN"/>
              </w:rPr>
              <w:t>21</w:t>
            </w:r>
            <w:r>
              <w:rPr>
                <w:rFonts w:hint="eastAsia" w:hAnsi="宋体"/>
                <w:b/>
                <w:snapToGrid w:val="0"/>
                <w:szCs w:val="18"/>
              </w:rPr>
              <w:t>日</w:t>
            </w:r>
            <w:r>
              <w:rPr>
                <w:rFonts w:hint="eastAsia" w:hAnsi="宋体"/>
                <w:b/>
                <w:snapToGrid w:val="0"/>
                <w:szCs w:val="18"/>
                <w:lang w:val="en-US" w:eastAsia="zh-CN"/>
              </w:rPr>
              <w:t>15</w:t>
            </w:r>
            <w:r>
              <w:rPr>
                <w:rFonts w:hint="eastAsia" w:hAnsi="宋体"/>
                <w:b/>
                <w:snapToGrid w:val="0"/>
                <w:szCs w:val="18"/>
              </w:rPr>
              <w:t>点</w:t>
            </w:r>
            <w:r>
              <w:rPr>
                <w:rFonts w:hint="eastAsia" w:hAnsi="宋体"/>
                <w:b/>
                <w:snapToGrid w:val="0"/>
                <w:szCs w:val="18"/>
                <w:lang w:val="en-US" w:eastAsia="zh-CN"/>
              </w:rPr>
              <w:t>0</w:t>
            </w:r>
            <w:r>
              <w:rPr>
                <w:rFonts w:hint="eastAsia" w:hAnsi="宋体"/>
                <w:b/>
                <w:snapToGrid w:val="0"/>
                <w:szCs w:val="18"/>
              </w:rPr>
              <w:t>0分</w:t>
            </w:r>
            <w:r>
              <w:rPr>
                <w:rFonts w:hint="eastAsia" w:hAnsi="宋体"/>
                <w:b/>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hAnsi="宋体"/>
              </w:rPr>
            </w:pPr>
            <w:r>
              <w:rPr>
                <w:rFonts w:hint="eastAsia" w:hAnsi="宋体"/>
              </w:rPr>
              <w:t xml:space="preserve">按深财购[2018]27 号文件的代理费用参考标准下调 10%（详见《投标 </w:t>
            </w:r>
          </w:p>
          <w:p>
            <w:pPr>
              <w:pStyle w:val="26"/>
              <w:spacing w:line="360" w:lineRule="auto"/>
              <w:rPr>
                <w:rFonts w:hAnsi="宋体"/>
              </w:rPr>
            </w:pPr>
            <w:r>
              <w:rPr>
                <w:rFonts w:hint="eastAsia" w:hAnsi="宋体"/>
              </w:rPr>
              <w:t>人须知》），向中标供应商收取，最低收取人民币 4500 元。</w:t>
            </w:r>
          </w:p>
        </w:tc>
      </w:tr>
    </w:tbl>
    <w:p>
      <w:pPr>
        <w:widowControl/>
        <w:jc w:val="left"/>
      </w:pPr>
      <w:r>
        <w:br w:type="page"/>
      </w:r>
    </w:p>
    <w:p/>
    <w:p>
      <w:pPr>
        <w:pStyle w:val="2"/>
      </w:pPr>
      <w:bookmarkStart w:id="18" w:name="_Toc25212"/>
      <w:r>
        <w:rPr>
          <w:rFonts w:hint="eastAsia"/>
        </w:rPr>
        <w:t>第六章  投标人须知</w:t>
      </w:r>
      <w:bookmarkEnd w:id="18"/>
    </w:p>
    <w:p>
      <w:pPr>
        <w:pStyle w:val="4"/>
        <w:spacing w:before="0" w:after="0"/>
      </w:pPr>
      <w:bookmarkStart w:id="19" w:name="_Toc30995"/>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采购人和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将按前附表第7项的规定，组织投标人对现场及周围环境进行踏勘，以便投标人获取须自己负责的有关编制投标文件和签署合同所需的所有资料。踏勘现场所发生的费用由投标人自己承担。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4"/>
        <w:spacing w:before="0" w:after="0"/>
      </w:pPr>
      <w:bookmarkStart w:id="21" w:name="_Toc20440"/>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2" w:name="q6"/>
      <w:bookmarkEnd w:id="22"/>
      <w:bookmarkStart w:id="23" w:name="_Toc28574"/>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投标报价应为到指定地点价，以人民币为结算单位。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17.6  投标文件不符合上述规定，为无效投标。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4" w:name="q7"/>
      <w:bookmarkEnd w:id="24"/>
      <w:bookmarkStart w:id="25" w:name="_Toc2301"/>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7" w:name="q8"/>
      <w:bookmarkEnd w:id="27"/>
      <w:bookmarkStart w:id="28" w:name="_Toc25593"/>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招标机构就投标文件中的资格证明等内容对投标供应商进行资格审查，审查不合格的，认定其投标无效。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在对投标文件进行详细评估之前，评标委员会将依据投标人提供的“资格证明文件”审查投标人的财务、技术和生产能力。如果确定投标人无资格履行合同，其投标将被拒绝。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24.8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24.9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Theme="minorEastAsia" w:hAnsiTheme="minorEastAsia" w:eastAsiaTheme="minorEastAsia"/>
          <w:szCs w:val="21"/>
        </w:rPr>
        <w:t>。</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评标方法和标准”所述进行详细评审，并推荐中标候选人。</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4"/>
        <w:spacing w:before="0" w:after="0"/>
      </w:pPr>
      <w:bookmarkStart w:id="30" w:name="_Toc27180"/>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10"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rWE90QAAAAgBAAAPAAAAAAAAAAEAIAAAACIAAABkcnMvZG93bnJldi54bWxQSwEC&#10;FAAUAAAACACHTuJA59hYf/sBAAADBAAADgAAAAAAAAABACAAAAAgAQAAZHJzL2Uyb0RvYy54bWxQ&#10;SwUGAAAAAAYABgBZAQAAjQ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1"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id6Vw+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9"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FK7FeU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5MyBpYY//Pz18PsP&#10;W2VthoA1udy6XZx2GHYxEz210eY/UWCnouf5oqc6JSbGQ/F4Wj2FhIjpk/KWZaPhRrtMEmo4fsZE&#10;acj10SUfG8cGKm+1XHEmgCaupU6TaQNVja4rseiNlvfamByBsdvfmsiOkLtevkyGcP9xy0m2gP3o&#10;V67GeegVyDsnWToH0sPRM+C5BKskZ0bRq8kWAUKdQJtrPCm1cTlAlZmceGZ1Rz2ztffyTL04hKi7&#10;nnRZlJrzDfW+VD/NaR6u53uyn7/N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LFK7FeUB&#10;AADj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中标（成交）金额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4"/>
        <w:spacing w:before="0" w:after="0"/>
      </w:pPr>
      <w:bookmarkStart w:id="31" w:name="_Toc11470"/>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p/>
    <w:p/>
    <w:p/>
    <w:p/>
    <w:p/>
    <w:p>
      <w:pPr>
        <w:widowControl/>
        <w:jc w:val="left"/>
      </w:pPr>
    </w:p>
    <w:p/>
    <w:p>
      <w:pPr>
        <w:pStyle w:val="2"/>
      </w:pPr>
      <w:bookmarkStart w:id="34" w:name="_Toc21799"/>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25194"/>
      <w:bookmarkStart w:id="36" w:name="_Toc11772"/>
      <w:bookmarkStart w:id="37" w:name="_Toc44691395"/>
      <w:bookmarkStart w:id="38" w:name="_Toc31631"/>
      <w:bookmarkStart w:id="39" w:name="_Toc44690704"/>
      <w:bookmarkStart w:id="40" w:name="_Toc14934"/>
      <w:bookmarkStart w:id="41" w:name="_Toc31468"/>
      <w:bookmarkStart w:id="42" w:name="_Toc44691163"/>
      <w:bookmarkStart w:id="43" w:name="_Toc44690431"/>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投标文件中，复印件或扫描件应加盖公章。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3.4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bookmarkStart w:id="44" w:name="_投标文件格式（第一册）"/>
      <w:bookmarkEnd w:id="44"/>
      <w:bookmarkStart w:id="45" w:name="q0"/>
      <w:r>
        <w:rPr>
          <w:rFonts w:ascii="仿宋" w:hAnsi="仿宋" w:eastAsia="仿宋"/>
        </w:rPr>
        <w:br w:type="page"/>
      </w:r>
    </w:p>
    <w:p>
      <w:pPr>
        <w:pStyle w:val="4"/>
        <w:spacing w:line="400" w:lineRule="exact"/>
        <w:rPr>
          <w:rFonts w:ascii="仿宋" w:hAnsi="仿宋" w:eastAsia="仿宋"/>
        </w:rPr>
      </w:pPr>
    </w:p>
    <w:p>
      <w:pPr>
        <w:pStyle w:val="4"/>
        <w:spacing w:line="400" w:lineRule="exact"/>
        <w:rPr>
          <w:rFonts w:ascii="仿宋" w:hAnsi="仿宋" w:eastAsia="仿宋"/>
        </w:rPr>
      </w:pPr>
      <w:bookmarkStart w:id="46" w:name="_Toc6504"/>
      <w:r>
        <w:rPr>
          <w:rFonts w:hint="eastAsia" w:ascii="仿宋" w:hAnsi="仿宋" w:eastAsia="仿宋"/>
        </w:rPr>
        <w:t>投标文件格式</w:t>
      </w:r>
      <w:bookmarkEnd w:id="46"/>
    </w:p>
    <w:bookmarkEnd w:id="45"/>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4"/>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4"/>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4"/>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4"/>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r>
        <w:br w:type="page"/>
      </w:r>
    </w:p>
    <w:p>
      <w:pPr>
        <w:adjustRightInd w:val="0"/>
        <w:snapToGrid w:val="0"/>
        <w:spacing w:line="300" w:lineRule="auto"/>
        <w:jc w:val="center"/>
      </w:pPr>
    </w:p>
    <w:p>
      <w:pPr>
        <w:pStyle w:val="4"/>
        <w:spacing w:line="400" w:lineRule="exact"/>
        <w:rPr>
          <w:rFonts w:ascii="仿宋" w:hAnsi="仿宋" w:eastAsia="仿宋"/>
        </w:rPr>
      </w:pPr>
      <w:bookmarkStart w:id="48" w:name="_Toc32347"/>
      <w:bookmarkStart w:id="49" w:name="_Toc73610158"/>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pStyle w:val="4"/>
        <w:spacing w:line="400" w:lineRule="exact"/>
        <w:rPr>
          <w:rFonts w:ascii="仿宋" w:hAnsi="仿宋" w:eastAsia="仿宋"/>
        </w:rPr>
      </w:pPr>
      <w:bookmarkStart w:id="50" w:name="_Toc32506"/>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综合评分指引（参见第四章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pStyle w:val="3"/>
        <w:jc w:val="center"/>
      </w:pPr>
    </w:p>
    <w:p/>
    <w:p/>
    <w:p/>
    <w:p/>
    <w:p/>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bookmarkStart w:id="51" w:name="_Toc44690432"/>
      <w:bookmarkStart w:id="52" w:name="_Toc44691164"/>
      <w:bookmarkStart w:id="53" w:name="_Toc44690705"/>
      <w:bookmarkStart w:id="54" w:name="_Toc44691396"/>
      <w:r>
        <w:rPr>
          <w:rFonts w:hint="eastAsia" w:asciiTheme="minorEastAsia" w:hAnsiTheme="minorEastAsia" w:eastAsiaTheme="minorEastAsia"/>
          <w:sz w:val="24"/>
        </w:rPr>
        <w:t>格式1  投标人资格证明文件</w:t>
      </w:r>
      <w:bookmarkEnd w:id="51"/>
      <w:bookmarkEnd w:id="52"/>
      <w:bookmarkEnd w:id="53"/>
      <w:bookmarkEnd w:id="54"/>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w:t>
      </w:r>
      <w:r>
        <w:rPr>
          <w:rFonts w:hint="eastAsia" w:cs="仿宋" w:asciiTheme="minorEastAsia" w:hAnsiTheme="minorEastAsia" w:eastAsiaTheme="minorEastAsia"/>
          <w:bCs/>
        </w:rPr>
        <w:t>国家企业信用信息公示系统（https://www.gsxt.gov.cn/index.html）或机关赋码和事业单位登记管理网（http://www.gjsy.gov.cn/sydwfrxxcx/）或全国社会组织信用信息公示平台（https://xxgs.chinanpo.mca.gov.cn/gsxt/newList）网站供应商信息查询截图</w:t>
      </w:r>
    </w:p>
    <w:p>
      <w:pPr>
        <w:adjustRightInd w:val="0"/>
        <w:snapToGrid w:val="0"/>
        <w:spacing w:line="360" w:lineRule="auto"/>
        <w:ind w:firstLine="424" w:firstLineChars="202"/>
        <w:rPr>
          <w:rFonts w:ascii="宋体" w:hAnsi="宋体"/>
        </w:rPr>
      </w:pPr>
      <w:r>
        <w:rPr>
          <w:rFonts w:hint="eastAsia" w:ascii="宋体" w:hAnsi="宋体"/>
        </w:rPr>
        <w:t>4、其它资格证明材料（如有，按第一章投标邀请“申请人的资格要求”提供）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widowControl/>
        <w:jc w:val="left"/>
        <w:rPr>
          <w:b/>
          <w:snapToGrid w:val="0"/>
          <w:kern w:val="0"/>
          <w:sz w:val="28"/>
        </w:rPr>
      </w:pPr>
      <w:r>
        <w:rPr>
          <w:b/>
          <w:snapToGrid w:val="0"/>
          <w:kern w:val="0"/>
          <w:sz w:val="28"/>
        </w:rPr>
        <w:br w:type="page"/>
      </w: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1.我单位满足《中华人民共和国政府采购法》第二十二条规定的条件。</w:t>
      </w:r>
    </w:p>
    <w:p>
      <w:pPr>
        <w:spacing w:line="4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r>
        <w:br w:type="page"/>
      </w:r>
    </w:p>
    <w:p>
      <w:pPr>
        <w:adjustRightInd w:val="0"/>
        <w:snapToGrid w:val="0"/>
        <w:spacing w:line="300" w:lineRule="auto"/>
        <w:jc w:val="center"/>
        <w:rPr>
          <w:b/>
          <w:snapToGrid w:val="0"/>
          <w:sz w:val="32"/>
          <w:szCs w:val="32"/>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napToGrid w:val="0"/>
          <w:kern w:val="0"/>
          <w:sz w:val="24"/>
        </w:rPr>
      </w:pPr>
      <w:r>
        <w:rPr>
          <w:rFonts w:hint="eastAsia" w:asciiTheme="minorEastAsia" w:hAnsiTheme="minorEastAsia" w:eastAsiaTheme="minorEastAsia"/>
          <w:sz w:val="24"/>
        </w:rPr>
        <w:t>格式2  法定代表人（负责人）证明书及授权委托书</w:t>
      </w:r>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8"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ozwrn7AQAAOwQAAA4AAAAAAAAAAQAgAAAAJwEAAGRycy9lMm9E&#10;b2MueG1sUEsFBgAAAAAGAAYAWQEAAJQFAAAAAA==&#10;">
                <v:fill on="t" focussize="0,0"/>
                <v:stroke color="#000000" joinstyle="miter"/>
                <v:imagedata o:title=""/>
                <o:lock v:ext="edit" aspectratio="f"/>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7"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f1/F2QAAAAoBAAAPAAAAAAAAAAEAIAAAACIAAABkcnMvZG93bnJl&#10;di54bWxQSwECFAAUAAAACACHTuJAhdkNUvwBAAA7BAAADgAAAAAAAAABACAAAAAoAQAAZHJzL2Uy&#10;b0RvYy54bWxQSwUGAAAAAAYABgBZAQAAlgUAAAAA&#10;">
                <v:fill on="t" focussize="0,0"/>
                <v:stroke color="#000000" joinstyle="miter"/>
                <v:imagedata o:title=""/>
                <o:lock v:ext="edit" aspectratio="f"/>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widowControl/>
        <w:jc w:val="left"/>
        <w:rPr>
          <w:b/>
          <w:bCs/>
          <w:sz w:val="28"/>
        </w:rPr>
      </w:pPr>
      <w:r>
        <w:rPr>
          <w:b/>
          <w:bCs/>
          <w:sz w:val="28"/>
        </w:rPr>
        <w:br w:type="page"/>
      </w: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5"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5"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py6F2AAAAAoBAAAPAAAAAAAAAAEAIAAAACIAAABkcnMvZG93bnJldi54&#10;bWxQSwECFAAUAAAACACHTuJAzGW2ePoBAAA7BAAADgAAAAAAAAABACAAAAAnAQAAZHJzL2Uyb0Rv&#10;Yy54bWxQSwUGAAAAAAYABgBZAQAAkwU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6"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CCkapv7AQAAOwQAAA4AAAAAAAAAAQAgAAAAJwEAAGRycy9lMm9E&#10;b2MueG1sUEsFBgAAAAAGAAYAWQEAAJQFAAAAAA==&#10;">
                <v:fill on="t" focussize="0,0"/>
                <v:stroke color="#000000" joinstyle="miter"/>
                <v:imagedata o:title=""/>
                <o:lock v:ext="edit" aspectratio="f"/>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bookmarkEnd w:id="55"/>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格式3  投</w:t>
      </w:r>
      <w:r>
        <w:rPr>
          <w:rFonts w:asciiTheme="minorEastAsia" w:hAnsiTheme="minorEastAsia" w:eastAsiaTheme="minorEastAsia"/>
          <w:sz w:val="24"/>
        </w:rPr>
        <w:t xml:space="preserve"> </w:t>
      </w:r>
      <w:r>
        <w:rPr>
          <w:rFonts w:hint="eastAsia" w:asciiTheme="minorEastAsia" w:hAnsiTheme="minorEastAsia" w:eastAsiaTheme="minorEastAsia"/>
          <w:sz w:val="24"/>
        </w:rPr>
        <w:t>标</w:t>
      </w:r>
      <w:r>
        <w:rPr>
          <w:rFonts w:asciiTheme="minorEastAsia" w:hAnsiTheme="minorEastAsia" w:eastAsiaTheme="minorEastAsia"/>
          <w:sz w:val="24"/>
        </w:rPr>
        <w:t xml:space="preserve"> </w:t>
      </w:r>
      <w:r>
        <w:rPr>
          <w:rFonts w:hint="eastAsia" w:asciiTheme="minorEastAsia" w:hAnsiTheme="minorEastAsia" w:eastAsiaTheme="minorEastAsia"/>
          <w:sz w:val="24"/>
        </w:rPr>
        <w:t>函</w:t>
      </w:r>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同意中标后向采购代理机构支付招标文件要求数额的中标服务费。</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rPr>
          <w:rFonts w:hint="eastAsia"/>
        </w:rPr>
        <w:t>授权代表： （签字）</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450"/>
        </w:tabs>
        <w:adjustRightInd w:val="0"/>
        <w:spacing w:line="300" w:lineRule="auto"/>
        <w:ind w:hanging="2"/>
        <w:rPr>
          <w:b/>
          <w:snapToGrid w:val="0"/>
          <w:kern w:val="0"/>
          <w:sz w:val="28"/>
        </w:rPr>
      </w:pPr>
      <w:r>
        <w:rPr>
          <w:b/>
          <w:snapToGrid w:val="0"/>
          <w:kern w:val="0"/>
          <w:sz w:val="28"/>
        </w:rPr>
        <w:tab/>
      </w:r>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格式4  评分中涉及的承诺及声明函</w:t>
      </w:r>
    </w:p>
    <w:p>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填写指引：</w:t>
      </w:r>
    </w:p>
    <w:p>
      <w:pPr>
        <w:widowControl/>
        <w:snapToGrid w:val="0"/>
        <w:spacing w:line="360" w:lineRule="auto"/>
        <w:jc w:val="left"/>
        <w:rPr>
          <w:rFonts w:asciiTheme="minorEastAsia" w:hAnsiTheme="minorEastAsia" w:eastAsiaTheme="minorEastAsia"/>
          <w:color w:val="FF0000"/>
          <w:kern w:val="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w:t>
      </w:r>
      <w:r>
        <w:rPr>
          <w:rFonts w:asciiTheme="minorEastAsia" w:hAnsiTheme="minorEastAsia" w:eastAsiaTheme="minorEastAsia"/>
          <w:color w:val="FF0000"/>
          <w:kern w:val="0"/>
          <w:szCs w:val="21"/>
        </w:rPr>
        <w:t>1</w:t>
      </w:r>
      <w:r>
        <w:rPr>
          <w:rFonts w:hint="eastAsia" w:asciiTheme="minorEastAsia" w:hAnsiTheme="minorEastAsia" w:eastAsiaTheme="minorEastAsia"/>
          <w:color w:val="FF0000"/>
          <w:kern w:val="0"/>
          <w:szCs w:val="21"/>
        </w:rPr>
        <w:t>)</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color w:val="FF0000"/>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w:t>
      </w:r>
      <w:r>
        <w:rPr>
          <w:rFonts w:asciiTheme="minorEastAsia" w:hAnsiTheme="minorEastAsia" w:eastAsiaTheme="minorEastAsia"/>
          <w:color w:val="FF0000"/>
          <w:kern w:val="0"/>
          <w:szCs w:val="21"/>
        </w:rPr>
        <w:t>2</w:t>
      </w:r>
      <w:r>
        <w:rPr>
          <w:rFonts w:hint="eastAsia" w:asciiTheme="minorEastAsia" w:hAnsiTheme="minorEastAsia" w:eastAsiaTheme="minorEastAsia"/>
          <w:color w:val="FF0000"/>
          <w:kern w:val="0"/>
          <w:szCs w:val="21"/>
        </w:rPr>
        <w:t>)</w:t>
      </w:r>
      <w:bookmarkStart w:id="56" w:name="_Hlk71925120"/>
      <w:r>
        <w:rPr>
          <w:rFonts w:hint="eastAsia" w:asciiTheme="minorEastAsia" w:hAnsiTheme="minorEastAsia" w:eastAsiaTheme="minorEastAsia"/>
          <w:color w:val="FF0000"/>
          <w:kern w:val="0"/>
          <w:szCs w:val="21"/>
        </w:rPr>
        <w:t>《关于印发中小企业划型标准规定的通知》（工信部联企业〔2011〕300 号</w:t>
      </w:r>
      <w:bookmarkEnd w:id="56"/>
      <w:r>
        <w:rPr>
          <w:rFonts w:hint="eastAsia" w:asciiTheme="minorEastAsia" w:hAnsiTheme="minorEastAsia" w:eastAsiaTheme="minorEastAsia"/>
          <w:color w:val="FF0000"/>
          <w:kern w:val="0"/>
          <w:szCs w:val="21"/>
        </w:rPr>
        <w:t>）</w:t>
      </w:r>
    </w:p>
    <w:p>
      <w:pPr>
        <w:widowControl/>
        <w:snapToGrid w:val="0"/>
        <w:spacing w:line="360" w:lineRule="auto"/>
        <w:ind w:firstLine="555"/>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(3)</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color w:val="FF0000"/>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(4)</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color w:val="FF0000"/>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color w:val="FF0000"/>
          <w:szCs w:val="21"/>
        </w:rPr>
      </w:pPr>
      <w:r>
        <w:rPr>
          <w:rFonts w:hint="eastAsia" w:asciiTheme="minorEastAsia" w:hAnsiTheme="minorEastAsia" w:eastAsiaTheme="minorEastAsia"/>
          <w:color w:val="FF0000"/>
          <w:kern w:val="0"/>
          <w:szCs w:val="21"/>
        </w:rPr>
        <w:t>(5)</w:t>
      </w: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color w:val="FF0000"/>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 xml:space="preserve">    4、《中小企业声明函》填写要求：</w:t>
      </w:r>
    </w:p>
    <w:p>
      <w:pPr>
        <w:widowControl/>
        <w:snapToGrid w:val="0"/>
        <w:spacing w:line="360" w:lineRule="auto"/>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color w:val="FF0000"/>
          <w:kern w:val="0"/>
          <w:szCs w:val="21"/>
        </w:rPr>
        <w:t>；</w:t>
      </w:r>
    </w:p>
    <w:p>
      <w:pPr>
        <w:widowControl/>
        <w:snapToGrid w:val="0"/>
        <w:spacing w:line="360" w:lineRule="auto"/>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color w:val="FF0000"/>
          <w:kern w:val="0"/>
          <w:szCs w:val="21"/>
        </w:rPr>
        <w:t>；</w:t>
      </w:r>
    </w:p>
    <w:p>
      <w:pPr>
        <w:widowControl/>
        <w:snapToGrid w:val="0"/>
        <w:spacing w:line="360" w:lineRule="auto"/>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color w:val="FF0000"/>
          <w:kern w:val="0"/>
          <w:szCs w:val="21"/>
        </w:rPr>
        <w:t>；</w:t>
      </w:r>
    </w:p>
    <w:p>
      <w:pPr>
        <w:widowControl/>
        <w:snapToGrid w:val="0"/>
        <w:spacing w:line="360" w:lineRule="auto"/>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 xml:space="preserve">    （4）在“</w:t>
      </w:r>
      <w:r>
        <w:rPr>
          <w:rFonts w:asciiTheme="minorEastAsia" w:hAnsiTheme="minorEastAsia" w:eastAsiaTheme="minorEastAsia"/>
          <w:color w:val="FF0000"/>
          <w:szCs w:val="21"/>
        </w:rPr>
        <w:t>采购文件</w:t>
      </w:r>
      <w:r>
        <w:rPr>
          <w:rFonts w:hint="eastAsia" w:asciiTheme="minorEastAsia" w:hAnsiTheme="minorEastAsia" w:eastAsiaTheme="minorEastAsia"/>
          <w:color w:val="FF0000"/>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color w:val="FF0000"/>
          <w:kern w:val="0"/>
          <w:szCs w:val="21"/>
        </w:rPr>
        <w:t>；</w:t>
      </w:r>
    </w:p>
    <w:p>
      <w:pPr>
        <w:widowControl/>
        <w:snapToGrid w:val="0"/>
        <w:spacing w:line="360" w:lineRule="auto"/>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 xml:space="preserve">    （5）在“企业名称”下划线处如实填写</w:t>
      </w:r>
      <w:r>
        <w:rPr>
          <w:rFonts w:hint="eastAsia" w:asciiTheme="minorEastAsia" w:hAnsiTheme="minorEastAsia" w:eastAsiaTheme="minorEastAsia"/>
          <w:b/>
          <w:color w:val="FF0000"/>
          <w:kern w:val="0"/>
          <w:szCs w:val="21"/>
        </w:rPr>
        <w:t>制造商（货物类）或承接企业名称（服务或工程类）</w:t>
      </w:r>
      <w:r>
        <w:rPr>
          <w:rFonts w:hint="eastAsia" w:asciiTheme="minorEastAsia" w:hAnsiTheme="minorEastAsia" w:eastAsiaTheme="minorEastAsia"/>
          <w:color w:val="FF0000"/>
          <w:kern w:val="0"/>
          <w:szCs w:val="21"/>
        </w:rPr>
        <w:t>；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widowControl/>
        <w:snapToGrid w:val="0"/>
        <w:spacing w:line="360" w:lineRule="auto"/>
        <w:jc w:val="left"/>
        <w:rPr>
          <w:b/>
          <w:bCs/>
          <w:color w:val="FF0000"/>
        </w:rPr>
      </w:pPr>
      <w:r>
        <w:rPr>
          <w:rFonts w:hint="eastAsia" w:asciiTheme="minorEastAsia" w:hAnsiTheme="minorEastAsia" w:eastAsiaTheme="minorEastAsia"/>
          <w:color w:val="FF0000"/>
          <w:kern w:val="0"/>
          <w:szCs w:val="21"/>
        </w:rPr>
        <w:t xml:space="preserve">    5、《残疾人福利性单位声明函》及《监狱企业声明函》中的投标人一栏填写投标单位名称，非制造商名称或其他单位名称。</w:t>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989"/>
        <w:gridCol w:w="1080"/>
        <w:gridCol w:w="1464"/>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vAlign w:val="center"/>
          </w:tcPr>
          <w:p>
            <w:pP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4"/>
          </w:tcPr>
          <w:p>
            <w:pPr>
              <w:jc w:val="center"/>
              <w:rPr>
                <w:b/>
                <w:szCs w:val="21"/>
              </w:rPr>
            </w:pPr>
            <w:r>
              <w:rPr>
                <w:rFonts w:hint="eastAsia"/>
                <w:b/>
                <w:szCs w:val="21"/>
              </w:rPr>
              <w:t>该投标产品报价及占投标总价的比例</w:t>
            </w:r>
          </w:p>
        </w:tc>
        <w:tc>
          <w:tcPr>
            <w:tcW w:w="1503" w:type="dxa"/>
            <w:vMerge w:val="restart"/>
            <w:vAlign w:val="center"/>
          </w:tcPr>
          <w:p>
            <w:pPr>
              <w:rPr>
                <w:b/>
                <w:szCs w:val="21"/>
              </w:rPr>
            </w:pPr>
            <w:r>
              <w:rPr>
                <w:rFonts w:hint="eastAsia"/>
                <w:b/>
                <w:szCs w:val="21"/>
              </w:rPr>
              <w:t>属于优先采购清单的类别</w:t>
            </w:r>
          </w:p>
        </w:tc>
        <w:tc>
          <w:tcPr>
            <w:tcW w:w="720" w:type="dxa"/>
            <w:vMerge w:val="restart"/>
            <w:vAlign w:val="center"/>
          </w:tcPr>
          <w:p>
            <w:pP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989" w:type="dxa"/>
            <w:vAlign w:val="center"/>
          </w:tcPr>
          <w:p>
            <w:pPr>
              <w:rPr>
                <w:szCs w:val="21"/>
              </w:rPr>
            </w:pPr>
            <w:r>
              <w:rPr>
                <w:rFonts w:hint="eastAsia"/>
                <w:szCs w:val="21"/>
              </w:rPr>
              <w:t>投标单价（元）</w:t>
            </w:r>
          </w:p>
        </w:tc>
        <w:tc>
          <w:tcPr>
            <w:tcW w:w="1080" w:type="dxa"/>
            <w:vAlign w:val="center"/>
          </w:tcPr>
          <w:p>
            <w:pPr>
              <w:rPr>
                <w:szCs w:val="21"/>
              </w:rPr>
            </w:pPr>
            <w:r>
              <w:rPr>
                <w:rFonts w:hint="eastAsia"/>
                <w:szCs w:val="21"/>
              </w:rPr>
              <w:t>投标合计报价（元）</w:t>
            </w:r>
          </w:p>
        </w:tc>
        <w:tc>
          <w:tcPr>
            <w:tcW w:w="1464" w:type="dxa"/>
            <w:vAlign w:val="center"/>
          </w:tcPr>
          <w:p>
            <w:pPr>
              <w:rPr>
                <w:szCs w:val="21"/>
              </w:rPr>
            </w:pPr>
            <w:r>
              <w:rPr>
                <w:rFonts w:hint="eastAsia"/>
                <w:szCs w:val="21"/>
              </w:rPr>
              <w:t>占投标总价的比例（%）</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1</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rPr>
                <w:rFonts w:ascii="宋体" w:hAnsi="宋体"/>
                <w:szCs w:val="21"/>
              </w:rPr>
            </w:pPr>
            <w:r>
              <w:rPr>
                <w:rFonts w:hint="eastAsia" w:ascii="宋体" w:hAnsi="宋体"/>
                <w:szCs w:val="21"/>
              </w:rPr>
              <w:t>2</w:t>
            </w:r>
          </w:p>
        </w:tc>
        <w:tc>
          <w:tcPr>
            <w:tcW w:w="1213" w:type="dxa"/>
          </w:tcPr>
          <w:p>
            <w:pPr>
              <w:rPr>
                <w:szCs w:val="21"/>
              </w:rPr>
            </w:pPr>
          </w:p>
        </w:tc>
        <w:tc>
          <w:tcPr>
            <w:tcW w:w="1840" w:type="dxa"/>
          </w:tcPr>
          <w:p>
            <w:pPr>
              <w:rPr>
                <w:szCs w:val="21"/>
              </w:rPr>
            </w:pPr>
          </w:p>
        </w:tc>
        <w:tc>
          <w:tcPr>
            <w:tcW w:w="818" w:type="dxa"/>
          </w:tcPr>
          <w:p>
            <w:pPr>
              <w:rPr>
                <w:szCs w:val="21"/>
              </w:rPr>
            </w:pPr>
          </w:p>
        </w:tc>
        <w:tc>
          <w:tcPr>
            <w:tcW w:w="989" w:type="dxa"/>
          </w:tcPr>
          <w:p>
            <w:pPr>
              <w:rPr>
                <w:szCs w:val="21"/>
              </w:rPr>
            </w:pPr>
          </w:p>
        </w:tc>
        <w:tc>
          <w:tcPr>
            <w:tcW w:w="1080" w:type="dxa"/>
          </w:tcPr>
          <w:p>
            <w:pPr>
              <w:rPr>
                <w:szCs w:val="21"/>
              </w:rPr>
            </w:pPr>
          </w:p>
        </w:tc>
        <w:tc>
          <w:tcPr>
            <w:tcW w:w="1464" w:type="dxa"/>
          </w:tcPr>
          <w:p>
            <w:pPr>
              <w:rPr>
                <w:szCs w:val="21"/>
              </w:rPr>
            </w:pPr>
          </w:p>
        </w:tc>
        <w:tc>
          <w:tcPr>
            <w:tcW w:w="1503" w:type="dxa"/>
          </w:tcPr>
          <w:p>
            <w:pPr>
              <w:rPr>
                <w:szCs w:val="21"/>
              </w:rPr>
            </w:pPr>
          </w:p>
        </w:tc>
        <w:tc>
          <w:tcPr>
            <w:tcW w:w="720" w:type="dxa"/>
          </w:tcPr>
          <w:p>
            <w:pP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szCs w:val="21"/>
        </w:rPr>
        <w:t>投标人的投标产品若不属于招标文件第四章“政府采购扶持政策</w:t>
      </w:r>
      <w:r>
        <w:rPr>
          <w:rFonts w:hint="eastAsia"/>
          <w:bCs/>
          <w:szCs w:val="21"/>
        </w:rPr>
        <w:t>”</w:t>
      </w:r>
      <w:r>
        <w:rPr>
          <w:rFonts w:hint="eastAsia"/>
          <w:szCs w:val="21"/>
        </w:rPr>
        <w:t>中所述清单或目录范围内，则无需填写该表。</w:t>
      </w:r>
    </w:p>
    <w:p>
      <w:pPr>
        <w:spacing w:line="360" w:lineRule="auto"/>
        <w:rPr>
          <w:rFonts w:ascii="宋体" w:hAnsi="宋体"/>
          <w:szCs w:val="21"/>
        </w:rPr>
      </w:pPr>
      <w:r>
        <w:rPr>
          <w:rFonts w:hint="eastAsia" w:ascii="宋体" w:hAnsi="宋体"/>
          <w:szCs w:val="21"/>
        </w:rPr>
        <w:t>2. “该投标产品报价及占投标总价的比例”栏中须准确填报该投标产品的投标单价、数量、投标合计报价及占</w:t>
      </w:r>
      <w:r>
        <w:rPr>
          <w:rFonts w:hint="eastAsia"/>
          <w:szCs w:val="21"/>
        </w:rPr>
        <w:t>投标总</w:t>
      </w:r>
      <w:r>
        <w:rPr>
          <w:rFonts w:hint="eastAsia" w:ascii="宋体" w:hAnsi="宋体"/>
          <w:szCs w:val="21"/>
        </w:rPr>
        <w:t>价的比例。</w:t>
      </w:r>
    </w:p>
    <w:p>
      <w:pPr>
        <w:spacing w:line="360" w:lineRule="auto"/>
        <w:rPr>
          <w:rFonts w:ascii="宋体" w:hAnsi="宋体"/>
          <w:szCs w:val="21"/>
        </w:rPr>
      </w:pPr>
      <w:r>
        <w:rPr>
          <w:rFonts w:hint="eastAsia" w:ascii="宋体" w:hAnsi="宋体"/>
          <w:szCs w:val="21"/>
        </w:rPr>
        <w:t>3. “属于优先采购清单的类别”栏中填写“《节能产品政府采购品目清单》”、“《环境标志产品政府采购品目清单》”（以</w:t>
      </w:r>
      <w:r>
        <w:rPr>
          <w:rFonts w:hint="eastAsia" w:ascii="宋体" w:hAnsi="宋体"/>
          <w:bCs/>
          <w:szCs w:val="21"/>
        </w:rPr>
        <w:t>中国政府采购网（http://www.ccgp.gov.cn/）最新一期查询结果为准</w:t>
      </w:r>
      <w:r>
        <w:rPr>
          <w:rFonts w:hint="eastAsia" w:ascii="宋体" w:hAnsi="宋体"/>
          <w:szCs w:val="21"/>
        </w:rPr>
        <w:t>）。</w:t>
      </w:r>
    </w:p>
    <w:p>
      <w:pPr>
        <w:spacing w:line="360" w:lineRule="auto"/>
        <w:jc w:val="left"/>
      </w:pPr>
      <w:r>
        <w:rPr>
          <w:rFonts w:hint="eastAsia" w:ascii="宋体" w:hAnsi="宋体"/>
          <w:b/>
          <w:szCs w:val="21"/>
        </w:rPr>
        <w:t>4. 对上表所列</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pPr>
        <w:adjustRightInd w:val="0"/>
        <w:snapToGrid w:val="0"/>
        <w:spacing w:line="360" w:lineRule="auto"/>
        <w:ind w:firstLine="600"/>
        <w:jc w:val="right"/>
      </w:pPr>
    </w:p>
    <w:p>
      <w:pPr>
        <w:adjustRightInd w:val="0"/>
        <w:snapToGrid w:val="0"/>
        <w:spacing w:line="360" w:lineRule="auto"/>
        <w:ind w:firstLine="600"/>
        <w:jc w:val="right"/>
      </w:pPr>
    </w:p>
    <w:p>
      <w:pPr>
        <w:widowControl/>
        <w:jc w:val="left"/>
        <w:rPr>
          <w:b/>
          <w:snapToGrid w:val="0"/>
          <w:kern w:val="0"/>
          <w:sz w:val="28"/>
        </w:rPr>
      </w:pPr>
      <w:r>
        <w:rPr>
          <w:b/>
          <w:snapToGrid w:val="0"/>
          <w:kern w:val="0"/>
          <w:sz w:val="28"/>
        </w:rPr>
        <w:br w:type="page"/>
      </w:r>
    </w:p>
    <w:p>
      <w:pPr>
        <w:adjustRightInd w:val="0"/>
        <w:spacing w:line="300" w:lineRule="auto"/>
        <w:ind w:hanging="2"/>
        <w:jc w:val="center"/>
        <w:rPr>
          <w:b/>
          <w:snapToGrid w:val="0"/>
          <w:kern w:val="0"/>
          <w:sz w:val="28"/>
        </w:rPr>
      </w:pPr>
      <w:r>
        <w:rPr>
          <w:rFonts w:hint="eastAsia"/>
          <w:b/>
          <w:snapToGrid w:val="0"/>
          <w:kern w:val="0"/>
          <w:sz w:val="28"/>
        </w:rPr>
        <w:t>诚信承诺函</w:t>
      </w:r>
    </w:p>
    <w:p>
      <w:pPr>
        <w:pStyle w:val="414"/>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
      <w:pPr>
        <w:adjustRightInd w:val="0"/>
        <w:snapToGrid w:val="0"/>
        <w:spacing w:line="360" w:lineRule="auto"/>
        <w:ind w:firstLine="600"/>
        <w:jc w:val="left"/>
      </w:pPr>
    </w:p>
    <w:p>
      <w:pPr>
        <w:adjustRightInd w:val="0"/>
        <w:snapToGrid w:val="0"/>
        <w:spacing w:line="360" w:lineRule="auto"/>
        <w:ind w:firstLine="600"/>
        <w:jc w:val="left"/>
      </w:pPr>
    </w:p>
    <w:p>
      <w:pPr>
        <w:widowControl/>
        <w:jc w:val="left"/>
      </w:pPr>
      <w:r>
        <w:br w:type="page"/>
      </w:r>
    </w:p>
    <w:p>
      <w:pPr>
        <w:adjustRightInd w:val="0"/>
        <w:snapToGrid w:val="0"/>
        <w:spacing w:line="360" w:lineRule="auto"/>
        <w:ind w:firstLine="600"/>
        <w:jc w:val="left"/>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57" w:name="_Toc44690706"/>
      <w:bookmarkStart w:id="58" w:name="_Toc44691397"/>
      <w:bookmarkStart w:id="59" w:name="_Toc44691165"/>
      <w:bookmarkStart w:id="60" w:name="_Toc44690433"/>
      <w:r>
        <w:rPr>
          <w:rFonts w:hint="eastAsia" w:asciiTheme="minorEastAsia" w:hAnsiTheme="minorEastAsia" w:eastAsiaTheme="minorEastAsia"/>
          <w:sz w:val="24"/>
        </w:rPr>
        <w:t>格式5  开标一览表</w:t>
      </w:r>
      <w:bookmarkEnd w:id="57"/>
      <w:bookmarkEnd w:id="58"/>
      <w:bookmarkEnd w:id="59"/>
      <w:bookmarkEnd w:id="60"/>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lang w:eastAsia="zh-CN"/>
              </w:rPr>
              <w:t>核酸快速检测系统</w:t>
            </w:r>
          </w:p>
        </w:tc>
        <w:tc>
          <w:tcPr>
            <w:tcW w:w="4396" w:type="dxa"/>
            <w:tcBorders>
              <w:top w:val="single" w:color="auto" w:sz="4" w:space="0"/>
            </w:tcBorders>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Pr>
        <w:widowControl/>
        <w:jc w:val="left"/>
      </w:pPr>
      <w:r>
        <w:br w:type="page"/>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1" w:name="_Toc44691398"/>
      <w:bookmarkStart w:id="62" w:name="_Toc44690707"/>
      <w:bookmarkStart w:id="63" w:name="_Toc44690434"/>
      <w:bookmarkStart w:id="64" w:name="_Toc44691166"/>
      <w:r>
        <w:rPr>
          <w:rFonts w:hint="eastAsia" w:asciiTheme="minorEastAsia" w:hAnsiTheme="minorEastAsia" w:eastAsiaTheme="minorEastAsia"/>
          <w:sz w:val="24"/>
        </w:rPr>
        <w:t>格式6  报价表</w:t>
      </w:r>
      <w:bookmarkEnd w:id="61"/>
      <w:bookmarkEnd w:id="62"/>
      <w:bookmarkEnd w:id="63"/>
      <w:bookmarkEnd w:id="64"/>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5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12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248"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1248"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65" w:type="dxa"/>
            <w:gridSpan w:val="11"/>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65" w:name="_Toc44690708"/>
      <w:bookmarkStart w:id="66" w:name="_Toc44691167"/>
      <w:bookmarkStart w:id="67" w:name="_Toc44690435"/>
      <w:bookmarkStart w:id="68" w:name="_Toc44691399"/>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格式7  技术规格</w:t>
      </w:r>
      <w:bookmarkEnd w:id="65"/>
      <w:bookmarkEnd w:id="66"/>
      <w:bookmarkEnd w:id="67"/>
      <w:bookmarkEnd w:id="68"/>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left"/>
        <w:rPr>
          <w:rFonts w:ascii="Times New Roman" w:hAnsi="Times New Roman"/>
          <w:b/>
          <w:sz w:val="21"/>
          <w:szCs w:val="21"/>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asciiTheme="minorEastAsia" w:hAnsiTheme="minorEastAsia" w:eastAsiaTheme="minorEastAsia"/>
          <w:sz w:val="24"/>
        </w:rPr>
        <w:t>格式</w:t>
      </w:r>
      <w:r>
        <w:rPr>
          <w:rFonts w:hint="eastAsia" w:asciiTheme="minorEastAsia" w:hAnsiTheme="minorEastAsia" w:eastAsiaTheme="minorEastAsia"/>
          <w:sz w:val="24"/>
        </w:rPr>
        <w:t>8</w:t>
      </w:r>
      <w:r>
        <w:rPr>
          <w:rFonts w:asciiTheme="minorEastAsia" w:hAnsiTheme="minorEastAsia" w:eastAsiaTheme="minorEastAsia"/>
          <w:sz w:val="24"/>
        </w:rPr>
        <w:t xml:space="preserve">  交付进度</w:t>
      </w:r>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pStyle w:val="3"/>
        <w:spacing w:before="0"/>
        <w:rPr>
          <w:rFonts w:ascii="宋体" w:hAnsi="宋体"/>
          <w:sz w:val="28"/>
        </w:rPr>
      </w:pPr>
    </w:p>
    <w:p/>
    <w:p/>
    <w:p/>
    <w:p/>
    <w:p/>
    <w:p/>
    <w:p/>
    <w:p/>
    <w:p>
      <w:pPr>
        <w:widowControl/>
        <w:jc w:val="left"/>
        <w:rPr>
          <w:rFonts w:asciiTheme="minorEastAsia" w:hAnsiTheme="minorEastAsia" w:eastAsiaTheme="minorEastAsia"/>
          <w:b/>
          <w:sz w:val="24"/>
        </w:rPr>
      </w:pPr>
      <w:bookmarkStart w:id="69" w:name="_Toc44690436"/>
      <w:bookmarkStart w:id="70" w:name="_Toc44690709"/>
      <w:bookmarkStart w:id="71" w:name="_Toc44691400"/>
      <w:bookmarkStart w:id="72" w:name="_Toc44691168"/>
      <w:r>
        <w:rPr>
          <w:rFonts w:asciiTheme="minorEastAsia" w:hAnsiTheme="minorEastAsia" w:eastAsiaTheme="minorEastAsia"/>
          <w:sz w:val="24"/>
        </w:rPr>
        <w:br w:type="page"/>
      </w: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格式9  售后服务和质量承诺</w:t>
      </w:r>
      <w:bookmarkEnd w:id="69"/>
      <w:bookmarkEnd w:id="70"/>
      <w:bookmarkEnd w:id="71"/>
      <w:bookmarkEnd w:id="72"/>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r>
        <w:rPr>
          <w:snapToGrid w:val="0"/>
          <w:kern w:val="0"/>
        </w:rPr>
        <w:br w:type="page"/>
      </w:r>
    </w:p>
    <w:p>
      <w:pPr>
        <w:tabs>
          <w:tab w:val="left" w:pos="1200"/>
        </w:tabs>
        <w:adjustRightInd w:val="0"/>
        <w:snapToGrid w:val="0"/>
        <w:spacing w:line="300" w:lineRule="auto"/>
        <w:rPr>
          <w:snapToGrid w:val="0"/>
          <w:kern w:val="0"/>
        </w:rP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bookmarkStart w:id="73" w:name="q16"/>
      <w:bookmarkEnd w:id="73"/>
      <w:bookmarkStart w:id="74" w:name="_格式5__"/>
      <w:bookmarkEnd w:id="74"/>
      <w:bookmarkStart w:id="75" w:name="_格式2__投标保证金凭证"/>
      <w:bookmarkEnd w:id="75"/>
      <w:bookmarkStart w:id="76" w:name="q15"/>
      <w:bookmarkEnd w:id="76"/>
      <w:bookmarkStart w:id="77" w:name="q17"/>
      <w:bookmarkEnd w:id="77"/>
      <w:bookmarkStart w:id="78" w:name="_格式4__"/>
      <w:bookmarkEnd w:id="78"/>
      <w:bookmarkStart w:id="79" w:name="_格式3__"/>
      <w:bookmarkEnd w:id="79"/>
      <w:r>
        <w:rPr>
          <w:rFonts w:asciiTheme="minorEastAsia" w:hAnsiTheme="minorEastAsia" w:eastAsiaTheme="minorEastAsia"/>
          <w:sz w:val="24"/>
        </w:rPr>
        <w:tab/>
      </w:r>
      <w:bookmarkStart w:id="80" w:name="_Toc44691401"/>
      <w:bookmarkStart w:id="81" w:name="_Toc44690437"/>
      <w:bookmarkStart w:id="82" w:name="_Toc44690710"/>
      <w:bookmarkStart w:id="83" w:name="_Toc44691169"/>
      <w:r>
        <w:rPr>
          <w:rFonts w:hint="eastAsia" w:asciiTheme="minorEastAsia" w:hAnsiTheme="minorEastAsia" w:eastAsiaTheme="minorEastAsia"/>
          <w:sz w:val="24"/>
        </w:rPr>
        <w:t>格式10  投标人情况介绍</w:t>
      </w:r>
      <w:bookmarkEnd w:id="80"/>
      <w:bookmarkEnd w:id="81"/>
      <w:bookmarkEnd w:id="82"/>
      <w:bookmarkEnd w:id="83"/>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84" w:name="_格式7__投标人资格声明"/>
      <w:bookmarkEnd w:id="84"/>
      <w:bookmarkStart w:id="85" w:name="q40"/>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格式11  偏离表</w:t>
      </w:r>
    </w:p>
    <w:bookmarkEnd w:id="85"/>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4、证明资料（均为复印件或扫描件）的提供要求：</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pPr>
        <w:spacing w:line="400" w:lineRule="exact"/>
        <w:ind w:firstLine="424" w:firstLineChars="202"/>
        <w:rPr>
          <w:rFonts w:ascii="宋体" w:hAnsi="宋体" w:cs="Arial"/>
          <w:b/>
          <w:bCs/>
          <w:szCs w:val="21"/>
        </w:rPr>
      </w:pPr>
      <w:r>
        <w:rPr>
          <w:rFonts w:hint="eastAsia" w:asciiTheme="minorEastAsia" w:hAnsiTheme="minorEastAsia" w:eastAsiaTheme="minorEastAsia"/>
          <w:szCs w:val="21"/>
        </w:rPr>
        <w:t>（2）我国政府机构出具的产品检验和核准证件应为证件正面、背面和附件标注的全部具体内容</w:t>
      </w:r>
      <w:r>
        <w:rPr>
          <w:rFonts w:hint="eastAsia" w:ascii="宋体" w:hAnsi="宋体" w:cs="Arial"/>
          <w:bCs/>
          <w:szCs w:val="21"/>
        </w:rPr>
        <w:t>。</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r>
        <w:br w:type="page"/>
      </w:r>
    </w:p>
    <w:p>
      <w:pPr>
        <w:adjustRightInd w:val="0"/>
        <w:snapToGrid w:val="0"/>
        <w:spacing w:line="300" w:lineRule="auto"/>
        <w:ind w:right="420"/>
        <w:jc w:val="center"/>
      </w:pPr>
    </w:p>
    <w:p>
      <w:pPr>
        <w:pStyle w:val="6"/>
        <w:numPr>
          <w:ilvl w:val="0"/>
          <w:numId w:val="0"/>
        </w:numPr>
        <w:tabs>
          <w:tab w:val="clear" w:pos="2111"/>
        </w:tabs>
        <w:spacing w:before="120" w:after="120"/>
        <w:ind w:left="-1" w:leftChars="-1" w:hanging="1"/>
        <w:jc w:val="center"/>
        <w:rPr>
          <w:rFonts w:asciiTheme="minorEastAsia" w:hAnsiTheme="minorEastAsia" w:eastAsiaTheme="minorEastAsia"/>
          <w:sz w:val="24"/>
        </w:rPr>
      </w:pPr>
      <w:r>
        <w:rPr>
          <w:rFonts w:hint="eastAsia" w:asciiTheme="minorEastAsia" w:hAnsiTheme="minorEastAsia" w:eastAsiaTheme="minorEastAsia"/>
          <w:sz w:val="24"/>
        </w:rPr>
        <w:t>格式12  招标文件要求的其他资料或投标人认为需要补充的资料</w:t>
      </w:r>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adjustRightInd w:val="0"/>
        <w:snapToGrid w:val="0"/>
        <w:spacing w:line="300" w:lineRule="auto"/>
        <w:ind w:firstLine="420" w:firstLineChars="200"/>
        <w:rPr>
          <w:b/>
          <w:snapToGrid w:val="0"/>
          <w:kern w:val="0"/>
          <w:sz w:val="24"/>
        </w:rPr>
      </w:pPr>
      <w:r>
        <w:rPr>
          <w:rFonts w:hint="eastAsia" w:asciiTheme="minorEastAsia" w:hAnsiTheme="minorEastAsia" w:eastAsiaTheme="minorEastAsia"/>
          <w:color w:val="FF0000"/>
          <w:kern w:val="0"/>
          <w:szCs w:val="21"/>
        </w:rPr>
        <w:t>2、其他招标文件要求提供的资料或投标人认为需要补充的资料。</w:t>
      </w:r>
    </w:p>
    <w:p>
      <w:pPr>
        <w:pStyle w:val="2"/>
        <w:keepNext w:val="0"/>
        <w:rPr>
          <w:b w:val="0"/>
          <w:snapToGrid w:val="0"/>
          <w:kern w:val="0"/>
          <w:sz w:val="52"/>
          <w:szCs w:val="52"/>
        </w:rPr>
      </w:pPr>
    </w:p>
    <w:p/>
    <w:p/>
    <w:p/>
    <w:p/>
    <w:p/>
    <w:p/>
    <w:p/>
    <w:p/>
    <w:p/>
    <w:p/>
    <w:p/>
    <w:p/>
    <w:p/>
    <w:p>
      <w:pPr>
        <w:tabs>
          <w:tab w:val="left" w:pos="1875"/>
        </w:tabs>
      </w:pPr>
      <w:bookmarkStart w:id="101" w:name="_GoBack"/>
      <w:bookmarkEnd w:id="101"/>
    </w:p>
    <w:p>
      <w:pPr>
        <w:tabs>
          <w:tab w:val="left" w:pos="1875"/>
        </w:tabs>
      </w:pPr>
    </w:p>
    <w:p>
      <w:pPr>
        <w:pStyle w:val="2"/>
        <w:spacing w:before="0" w:after="0"/>
      </w:pPr>
      <w:bookmarkStart w:id="86" w:name="_Toc28139"/>
      <w:r>
        <w:rPr>
          <w:rFonts w:hint="eastAsia"/>
        </w:rPr>
        <w:t>第八章  合同条款</w:t>
      </w:r>
      <w:bookmarkEnd w:id="86"/>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87" w:name="_Toc4381"/>
      <w:r>
        <w:rPr>
          <w:rFonts w:hint="eastAsia"/>
        </w:rPr>
        <w:t>第九章  附件</w:t>
      </w:r>
      <w:bookmarkEnd w:id="87"/>
    </w:p>
    <w:p>
      <w:pPr>
        <w:keepNext/>
        <w:keepLines/>
        <w:jc w:val="center"/>
        <w:outlineLvl w:val="2"/>
        <w:rPr>
          <w:rFonts w:ascii="宋体" w:hAnsi="宋体"/>
          <w:b/>
          <w:bCs/>
          <w:kern w:val="0"/>
          <w:sz w:val="28"/>
          <w:szCs w:val="32"/>
        </w:rPr>
      </w:pPr>
      <w:bookmarkStart w:id="88" w:name="_Toc73613644"/>
      <w:bookmarkStart w:id="89" w:name="_Toc73610162"/>
      <w:bookmarkStart w:id="90" w:name="_Toc20517"/>
      <w:r>
        <w:rPr>
          <w:rFonts w:hint="eastAsia" w:ascii="宋体" w:hAnsi="宋体"/>
          <w:b/>
          <w:bCs/>
          <w:kern w:val="0"/>
          <w:sz w:val="28"/>
          <w:szCs w:val="32"/>
        </w:rPr>
        <w:t>一、财政部 工业和信息化部关于印发《政府采购促进中小企业发展管理办法》的通知</w:t>
      </w:r>
      <w:bookmarkEnd w:id="88"/>
      <w:bookmarkEnd w:id="89"/>
      <w:bookmarkEnd w:id="90"/>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keepNext/>
        <w:keepLines/>
        <w:jc w:val="center"/>
        <w:outlineLvl w:val="2"/>
        <w:rPr>
          <w:rFonts w:ascii="宋体" w:hAnsi="宋体"/>
          <w:b/>
          <w:bCs/>
          <w:kern w:val="0"/>
          <w:sz w:val="28"/>
          <w:szCs w:val="32"/>
        </w:rPr>
      </w:pPr>
      <w:bookmarkStart w:id="91" w:name="_Toc73610163"/>
      <w:bookmarkStart w:id="92" w:name="_Toc28455"/>
      <w:bookmarkStart w:id="93" w:name="_Toc73613645"/>
      <w:r>
        <w:rPr>
          <w:rFonts w:hint="eastAsia" w:ascii="宋体" w:hAnsi="宋体"/>
          <w:b/>
          <w:bCs/>
          <w:kern w:val="0"/>
          <w:sz w:val="28"/>
          <w:szCs w:val="32"/>
        </w:rPr>
        <w:t>二、关于印发中小企业划型标准规定的通知</w:t>
      </w:r>
      <w:bookmarkEnd w:id="91"/>
      <w:bookmarkEnd w:id="92"/>
      <w:bookmarkEnd w:id="93"/>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keepNext/>
        <w:keepLines/>
        <w:jc w:val="center"/>
        <w:outlineLvl w:val="2"/>
        <w:rPr>
          <w:rFonts w:asciiTheme="minorEastAsia" w:hAnsiTheme="minorEastAsia" w:eastAsiaTheme="minorEastAsia"/>
          <w:b/>
          <w:bCs/>
          <w:kern w:val="0"/>
          <w:sz w:val="28"/>
          <w:szCs w:val="32"/>
        </w:rPr>
      </w:pPr>
      <w:bookmarkStart w:id="94" w:name="_Toc73613646"/>
      <w:bookmarkStart w:id="95" w:name="_Toc73610164"/>
      <w:bookmarkStart w:id="96" w:name="_Toc15362"/>
      <w:r>
        <w:rPr>
          <w:rFonts w:hint="eastAsia" w:asciiTheme="minorEastAsia" w:hAnsiTheme="minorEastAsia" w:eastAsiaTheme="minorEastAsia"/>
          <w:b/>
          <w:kern w:val="0"/>
          <w:sz w:val="28"/>
          <w:szCs w:val="32"/>
        </w:rPr>
        <w:t>三、</w:t>
      </w:r>
      <w:r>
        <w:rPr>
          <w:rFonts w:asciiTheme="minorEastAsia" w:hAnsiTheme="minorEastAsia" w:eastAsiaTheme="minorEastAsia"/>
          <w:b/>
          <w:kern w:val="0"/>
          <w:sz w:val="28"/>
          <w:szCs w:val="32"/>
        </w:rPr>
        <w:t>国家统计局关于印发《统计上大中小微型企业划分办法 （2017）》的通知</w:t>
      </w:r>
      <w:bookmarkEnd w:id="94"/>
      <w:bookmarkEnd w:id="95"/>
      <w:r>
        <w:rPr>
          <w:rFonts w:asciiTheme="minorEastAsia" w:hAnsiTheme="minorEastAsia" w:eastAsiaTheme="minorEastAsia"/>
          <w:b/>
          <w:kern w:val="0"/>
          <w:sz w:val="28"/>
          <w:szCs w:val="32"/>
        </w:rPr>
        <w:t> </w:t>
      </w:r>
      <w:bookmarkEnd w:id="96"/>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keepNext/>
        <w:keepLines/>
        <w:jc w:val="center"/>
        <w:outlineLvl w:val="2"/>
        <w:rPr>
          <w:rFonts w:ascii="宋体" w:hAnsi="宋体"/>
          <w:b/>
          <w:bCs/>
          <w:kern w:val="0"/>
          <w:sz w:val="28"/>
          <w:szCs w:val="32"/>
        </w:rPr>
      </w:pPr>
      <w:bookmarkStart w:id="97" w:name="_Toc73613647"/>
      <w:bookmarkStart w:id="98" w:name="_Toc73610165"/>
      <w:bookmarkStart w:id="99" w:name="_Toc23865"/>
      <w:r>
        <w:rPr>
          <w:rFonts w:hint="eastAsia" w:ascii="宋体" w:hAnsi="宋体"/>
          <w:b/>
          <w:bCs/>
          <w:kern w:val="0"/>
          <w:sz w:val="28"/>
          <w:szCs w:val="32"/>
        </w:rPr>
        <w:t>四、</w:t>
      </w:r>
      <w:r>
        <w:rPr>
          <w:rFonts w:ascii="宋体" w:hAnsi="宋体"/>
          <w:b/>
          <w:bCs/>
          <w:kern w:val="0"/>
          <w:sz w:val="28"/>
          <w:szCs w:val="32"/>
        </w:rPr>
        <w:t>财政部 民政部 中国残疾人联合会关于促进残疾人就业 政府采购政策的通知</w:t>
      </w:r>
      <w:bookmarkEnd w:id="97"/>
      <w:bookmarkEnd w:id="98"/>
      <w:bookmarkEnd w:id="99"/>
      <w:r>
        <w:rPr>
          <w:rFonts w:ascii="宋体" w:hAnsi="宋体"/>
          <w:b/>
          <w:bCs/>
          <w:kern w:val="0"/>
          <w:sz w:val="28"/>
          <w:szCs w:val="32"/>
        </w:rP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keepNext/>
        <w:keepLines/>
        <w:jc w:val="center"/>
        <w:outlineLvl w:val="2"/>
        <w:rPr>
          <w:rFonts w:ascii="宋体" w:hAnsi="宋体"/>
          <w:b/>
          <w:bCs/>
          <w:kern w:val="0"/>
          <w:sz w:val="28"/>
          <w:szCs w:val="32"/>
        </w:rPr>
      </w:pPr>
      <w:bookmarkStart w:id="100" w:name="_Toc4588"/>
      <w:r>
        <w:rPr>
          <w:rFonts w:hint="eastAsia" w:ascii="宋体" w:hAnsi="宋体"/>
          <w:b/>
          <w:bCs/>
          <w:kern w:val="0"/>
          <w:sz w:val="28"/>
          <w:szCs w:val="32"/>
        </w:rPr>
        <w:t>五、财政部 司法部关于政府采购支持监狱企业发展有关问题的通知</w:t>
      </w:r>
      <w:bookmarkEnd w:id="100"/>
      <w:r>
        <w:rPr>
          <w:rFonts w:hint="eastAsia" w:ascii="宋体" w:hAnsi="宋体"/>
          <w:b/>
          <w:bCs/>
          <w:kern w:val="0"/>
          <w:sz w:val="28"/>
          <w:szCs w:val="32"/>
        </w:rP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p>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7</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核酸快速检测系统</w:t>
    </w:r>
    <w:r>
      <w:rPr>
        <w:rFonts w:hint="eastAsia" w:asciiTheme="minorEastAsia" w:hAnsiTheme="minorEastAsia" w:eastAsiaTheme="minorEastAsia"/>
      </w:rPr>
      <w:t xml:space="preserve">                                                          项目编号：</w:t>
    </w:r>
    <w:r>
      <w:rPr>
        <w:rFonts w:hint="eastAsia" w:asciiTheme="minorEastAsia" w:hAnsiTheme="minorEastAsia" w:eastAsiaTheme="minorEastAsia"/>
        <w:lang w:eastAsia="zh-CN"/>
      </w:rPr>
      <w:t>SZZZ2023-QA0171</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50E0"/>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475"/>
    <w:rsid w:val="0005650D"/>
    <w:rsid w:val="00056617"/>
    <w:rsid w:val="00057655"/>
    <w:rsid w:val="00060349"/>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2A5E"/>
    <w:rsid w:val="000C3B21"/>
    <w:rsid w:val="000C428C"/>
    <w:rsid w:val="000C4328"/>
    <w:rsid w:val="000C4401"/>
    <w:rsid w:val="000C48DA"/>
    <w:rsid w:val="000C605A"/>
    <w:rsid w:val="000C63AE"/>
    <w:rsid w:val="000C6BB0"/>
    <w:rsid w:val="000C7685"/>
    <w:rsid w:val="000D0C86"/>
    <w:rsid w:val="000D0C91"/>
    <w:rsid w:val="000D11F6"/>
    <w:rsid w:val="000D1EAF"/>
    <w:rsid w:val="000D2056"/>
    <w:rsid w:val="000D2C8E"/>
    <w:rsid w:val="000D2CA8"/>
    <w:rsid w:val="000D2D9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550"/>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5A5E"/>
    <w:rsid w:val="00175B46"/>
    <w:rsid w:val="00177212"/>
    <w:rsid w:val="001774D4"/>
    <w:rsid w:val="00177549"/>
    <w:rsid w:val="00177744"/>
    <w:rsid w:val="00177780"/>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FA9"/>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77EA"/>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2CF6"/>
    <w:rsid w:val="002B2E09"/>
    <w:rsid w:val="002B366D"/>
    <w:rsid w:val="002B3C7C"/>
    <w:rsid w:val="002B4B5E"/>
    <w:rsid w:val="002B4F70"/>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740"/>
    <w:rsid w:val="002E6A58"/>
    <w:rsid w:val="002E6D98"/>
    <w:rsid w:val="002E7881"/>
    <w:rsid w:val="002E7975"/>
    <w:rsid w:val="002E7A31"/>
    <w:rsid w:val="002F01F2"/>
    <w:rsid w:val="002F0F57"/>
    <w:rsid w:val="002F11D5"/>
    <w:rsid w:val="002F2B63"/>
    <w:rsid w:val="002F3765"/>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593F"/>
    <w:rsid w:val="00376309"/>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5AE1"/>
    <w:rsid w:val="003960EC"/>
    <w:rsid w:val="0039729C"/>
    <w:rsid w:val="00397BFA"/>
    <w:rsid w:val="003A03CE"/>
    <w:rsid w:val="003A0BE4"/>
    <w:rsid w:val="003A103A"/>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2EFD"/>
    <w:rsid w:val="003B3713"/>
    <w:rsid w:val="003B3AA5"/>
    <w:rsid w:val="003B445F"/>
    <w:rsid w:val="003B495A"/>
    <w:rsid w:val="003B4982"/>
    <w:rsid w:val="003B4B46"/>
    <w:rsid w:val="003B5C4E"/>
    <w:rsid w:val="003B65AB"/>
    <w:rsid w:val="003B6CFD"/>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27FB"/>
    <w:rsid w:val="003D35B0"/>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CC4"/>
    <w:rsid w:val="003F179E"/>
    <w:rsid w:val="003F1823"/>
    <w:rsid w:val="003F1DDF"/>
    <w:rsid w:val="003F1F28"/>
    <w:rsid w:val="003F253B"/>
    <w:rsid w:val="003F3ED0"/>
    <w:rsid w:val="003F447B"/>
    <w:rsid w:val="003F48D0"/>
    <w:rsid w:val="003F4F4B"/>
    <w:rsid w:val="003F50A1"/>
    <w:rsid w:val="003F5132"/>
    <w:rsid w:val="003F65B3"/>
    <w:rsid w:val="003F6B1B"/>
    <w:rsid w:val="003F6BA8"/>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51"/>
    <w:rsid w:val="004303FE"/>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2EC"/>
    <w:rsid w:val="004717B7"/>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E06"/>
    <w:rsid w:val="004A6E75"/>
    <w:rsid w:val="004A73C9"/>
    <w:rsid w:val="004A7475"/>
    <w:rsid w:val="004A7F95"/>
    <w:rsid w:val="004B261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345A"/>
    <w:rsid w:val="004E3F06"/>
    <w:rsid w:val="004E4394"/>
    <w:rsid w:val="004E4C26"/>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504"/>
    <w:rsid w:val="00556DFE"/>
    <w:rsid w:val="0055788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18"/>
    <w:rsid w:val="00605593"/>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0F6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A5C"/>
    <w:rsid w:val="00755E79"/>
    <w:rsid w:val="007566DE"/>
    <w:rsid w:val="00756F86"/>
    <w:rsid w:val="0075777A"/>
    <w:rsid w:val="0076013E"/>
    <w:rsid w:val="0076131E"/>
    <w:rsid w:val="007645ED"/>
    <w:rsid w:val="00765002"/>
    <w:rsid w:val="0076501C"/>
    <w:rsid w:val="00766293"/>
    <w:rsid w:val="007675F7"/>
    <w:rsid w:val="00767D8F"/>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7BA"/>
    <w:rsid w:val="007B4B17"/>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99B"/>
    <w:rsid w:val="00856B2E"/>
    <w:rsid w:val="008576E8"/>
    <w:rsid w:val="00862342"/>
    <w:rsid w:val="00862708"/>
    <w:rsid w:val="00862D18"/>
    <w:rsid w:val="008632E4"/>
    <w:rsid w:val="008638FB"/>
    <w:rsid w:val="00864BA7"/>
    <w:rsid w:val="00864FA0"/>
    <w:rsid w:val="00864FD5"/>
    <w:rsid w:val="00867216"/>
    <w:rsid w:val="0086743B"/>
    <w:rsid w:val="0087014B"/>
    <w:rsid w:val="00870347"/>
    <w:rsid w:val="0087052B"/>
    <w:rsid w:val="008708C1"/>
    <w:rsid w:val="00870CEF"/>
    <w:rsid w:val="0087154B"/>
    <w:rsid w:val="00871579"/>
    <w:rsid w:val="00871B86"/>
    <w:rsid w:val="00872962"/>
    <w:rsid w:val="008729E8"/>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50C"/>
    <w:rsid w:val="008832BB"/>
    <w:rsid w:val="00883477"/>
    <w:rsid w:val="00884182"/>
    <w:rsid w:val="008844CC"/>
    <w:rsid w:val="00884DE8"/>
    <w:rsid w:val="0088512A"/>
    <w:rsid w:val="00885B9F"/>
    <w:rsid w:val="00885F38"/>
    <w:rsid w:val="008864C3"/>
    <w:rsid w:val="00886B83"/>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9BA"/>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1F3B"/>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6487"/>
    <w:rsid w:val="0097700C"/>
    <w:rsid w:val="009773D6"/>
    <w:rsid w:val="00977A8A"/>
    <w:rsid w:val="00977C0C"/>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29E4"/>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4787F"/>
    <w:rsid w:val="00A47C6D"/>
    <w:rsid w:val="00A5091A"/>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A95"/>
    <w:rsid w:val="00A63DF1"/>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2DF6"/>
    <w:rsid w:val="00B53C34"/>
    <w:rsid w:val="00B53F0D"/>
    <w:rsid w:val="00B5455A"/>
    <w:rsid w:val="00B5657A"/>
    <w:rsid w:val="00B56B84"/>
    <w:rsid w:val="00B57961"/>
    <w:rsid w:val="00B57C56"/>
    <w:rsid w:val="00B60BE1"/>
    <w:rsid w:val="00B61614"/>
    <w:rsid w:val="00B61672"/>
    <w:rsid w:val="00B61B8F"/>
    <w:rsid w:val="00B61EEB"/>
    <w:rsid w:val="00B62488"/>
    <w:rsid w:val="00B628A4"/>
    <w:rsid w:val="00B62D2F"/>
    <w:rsid w:val="00B6329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8FD"/>
    <w:rsid w:val="00B72FA4"/>
    <w:rsid w:val="00B73290"/>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133D"/>
    <w:rsid w:val="00BB1924"/>
    <w:rsid w:val="00BB2616"/>
    <w:rsid w:val="00BB26EB"/>
    <w:rsid w:val="00BB2C15"/>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E2"/>
    <w:rsid w:val="00BC3E3B"/>
    <w:rsid w:val="00BC52DE"/>
    <w:rsid w:val="00BC69C6"/>
    <w:rsid w:val="00BC6BFD"/>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48D"/>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37"/>
    <w:rsid w:val="00BF4674"/>
    <w:rsid w:val="00BF47B7"/>
    <w:rsid w:val="00BF5020"/>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6C9"/>
    <w:rsid w:val="00C21801"/>
    <w:rsid w:val="00C2304D"/>
    <w:rsid w:val="00C236EB"/>
    <w:rsid w:val="00C23BE9"/>
    <w:rsid w:val="00C24016"/>
    <w:rsid w:val="00C24904"/>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3BA"/>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A01"/>
    <w:rsid w:val="00C75BCA"/>
    <w:rsid w:val="00C75C66"/>
    <w:rsid w:val="00C75DB6"/>
    <w:rsid w:val="00C76E04"/>
    <w:rsid w:val="00C76FB0"/>
    <w:rsid w:val="00C81278"/>
    <w:rsid w:val="00C81A2C"/>
    <w:rsid w:val="00C81E27"/>
    <w:rsid w:val="00C82647"/>
    <w:rsid w:val="00C8285E"/>
    <w:rsid w:val="00C82F2D"/>
    <w:rsid w:val="00C83260"/>
    <w:rsid w:val="00C836F0"/>
    <w:rsid w:val="00C8398B"/>
    <w:rsid w:val="00C84318"/>
    <w:rsid w:val="00C856BE"/>
    <w:rsid w:val="00C85F2C"/>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28B2"/>
    <w:rsid w:val="00CD2DD0"/>
    <w:rsid w:val="00CD33EE"/>
    <w:rsid w:val="00CD3776"/>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E88"/>
    <w:rsid w:val="00D75216"/>
    <w:rsid w:val="00D756A7"/>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5B7"/>
    <w:rsid w:val="00DC1EC8"/>
    <w:rsid w:val="00DC2E18"/>
    <w:rsid w:val="00DC2FA0"/>
    <w:rsid w:val="00DC30FE"/>
    <w:rsid w:val="00DC3512"/>
    <w:rsid w:val="00DC385E"/>
    <w:rsid w:val="00DC3C05"/>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14"/>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C8"/>
    <w:rsid w:val="00DE6805"/>
    <w:rsid w:val="00DE7807"/>
    <w:rsid w:val="00DE7C25"/>
    <w:rsid w:val="00DF0D0A"/>
    <w:rsid w:val="00DF1211"/>
    <w:rsid w:val="00DF1385"/>
    <w:rsid w:val="00DF1FB9"/>
    <w:rsid w:val="00DF2469"/>
    <w:rsid w:val="00DF2EB3"/>
    <w:rsid w:val="00DF316E"/>
    <w:rsid w:val="00DF3626"/>
    <w:rsid w:val="00DF3B10"/>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77A5"/>
    <w:rsid w:val="00E77BF3"/>
    <w:rsid w:val="00E77E32"/>
    <w:rsid w:val="00E800B4"/>
    <w:rsid w:val="00E809C8"/>
    <w:rsid w:val="00E80EE9"/>
    <w:rsid w:val="00E8173D"/>
    <w:rsid w:val="00E81907"/>
    <w:rsid w:val="00E81B11"/>
    <w:rsid w:val="00E825D5"/>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2103"/>
    <w:rsid w:val="00EC27C8"/>
    <w:rsid w:val="00EC2BE5"/>
    <w:rsid w:val="00EC2CCA"/>
    <w:rsid w:val="00EC2E57"/>
    <w:rsid w:val="00EC2E71"/>
    <w:rsid w:val="00EC4BC3"/>
    <w:rsid w:val="00EC4D53"/>
    <w:rsid w:val="00EC5347"/>
    <w:rsid w:val="00EC5FAC"/>
    <w:rsid w:val="00EC6B91"/>
    <w:rsid w:val="00EC7083"/>
    <w:rsid w:val="00EC7652"/>
    <w:rsid w:val="00EC766D"/>
    <w:rsid w:val="00EC7835"/>
    <w:rsid w:val="00EC7ED9"/>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5F5F"/>
    <w:rsid w:val="00F45F88"/>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196A"/>
    <w:rsid w:val="00F92621"/>
    <w:rsid w:val="00F92790"/>
    <w:rsid w:val="00F92920"/>
    <w:rsid w:val="00F92ACA"/>
    <w:rsid w:val="00F92E7C"/>
    <w:rsid w:val="00F92EAB"/>
    <w:rsid w:val="00F93083"/>
    <w:rsid w:val="00F930D9"/>
    <w:rsid w:val="00F93EEE"/>
    <w:rsid w:val="00F93FDA"/>
    <w:rsid w:val="00F944E3"/>
    <w:rsid w:val="00F954CA"/>
    <w:rsid w:val="00F96280"/>
    <w:rsid w:val="00F96E84"/>
    <w:rsid w:val="00F97914"/>
    <w:rsid w:val="00FA01D4"/>
    <w:rsid w:val="00FA084F"/>
    <w:rsid w:val="00FA2BD7"/>
    <w:rsid w:val="00FA30F5"/>
    <w:rsid w:val="00FA3BAD"/>
    <w:rsid w:val="00FA3F06"/>
    <w:rsid w:val="00FA416A"/>
    <w:rsid w:val="00FA4744"/>
    <w:rsid w:val="00FA4872"/>
    <w:rsid w:val="00FA4B78"/>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2B2C0A"/>
    <w:rsid w:val="026E4F91"/>
    <w:rsid w:val="041D095D"/>
    <w:rsid w:val="053803CF"/>
    <w:rsid w:val="05C87DB9"/>
    <w:rsid w:val="0961739E"/>
    <w:rsid w:val="098E6083"/>
    <w:rsid w:val="0B205B2B"/>
    <w:rsid w:val="0B782559"/>
    <w:rsid w:val="0D566BC9"/>
    <w:rsid w:val="0E180322"/>
    <w:rsid w:val="0E8C4995"/>
    <w:rsid w:val="0EF27BFB"/>
    <w:rsid w:val="0F107BDD"/>
    <w:rsid w:val="0F811757"/>
    <w:rsid w:val="0FBC50EF"/>
    <w:rsid w:val="115F3FD7"/>
    <w:rsid w:val="11A259DD"/>
    <w:rsid w:val="11FB37FD"/>
    <w:rsid w:val="120027E5"/>
    <w:rsid w:val="120474A0"/>
    <w:rsid w:val="13102ABE"/>
    <w:rsid w:val="160369AC"/>
    <w:rsid w:val="166D0F98"/>
    <w:rsid w:val="167D280D"/>
    <w:rsid w:val="17047766"/>
    <w:rsid w:val="17935895"/>
    <w:rsid w:val="17F52C18"/>
    <w:rsid w:val="184530EF"/>
    <w:rsid w:val="19227A4B"/>
    <w:rsid w:val="1B3E182A"/>
    <w:rsid w:val="1B4B5195"/>
    <w:rsid w:val="1BA16332"/>
    <w:rsid w:val="1C174C6F"/>
    <w:rsid w:val="1C3D0A3D"/>
    <w:rsid w:val="1C7C020D"/>
    <w:rsid w:val="1C8F78BA"/>
    <w:rsid w:val="1C9B0D84"/>
    <w:rsid w:val="1CDD3F3B"/>
    <w:rsid w:val="1D4D6869"/>
    <w:rsid w:val="20BC05DE"/>
    <w:rsid w:val="20D55CD9"/>
    <w:rsid w:val="20F96C57"/>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0F1351"/>
    <w:rsid w:val="32715B68"/>
    <w:rsid w:val="329B11F6"/>
    <w:rsid w:val="32F30A1B"/>
    <w:rsid w:val="33135406"/>
    <w:rsid w:val="336E087E"/>
    <w:rsid w:val="33C3087D"/>
    <w:rsid w:val="35961B12"/>
    <w:rsid w:val="364523AD"/>
    <w:rsid w:val="36700D38"/>
    <w:rsid w:val="36C4673D"/>
    <w:rsid w:val="37B10B63"/>
    <w:rsid w:val="37D17C49"/>
    <w:rsid w:val="390721D7"/>
    <w:rsid w:val="393B510C"/>
    <w:rsid w:val="393F4767"/>
    <w:rsid w:val="39A97E97"/>
    <w:rsid w:val="3A260C29"/>
    <w:rsid w:val="3A601AE3"/>
    <w:rsid w:val="3B57268D"/>
    <w:rsid w:val="3B6176CE"/>
    <w:rsid w:val="3BF9504C"/>
    <w:rsid w:val="3CF11603"/>
    <w:rsid w:val="3D7507FB"/>
    <w:rsid w:val="3EB5127A"/>
    <w:rsid w:val="3F191DF3"/>
    <w:rsid w:val="3F503E5E"/>
    <w:rsid w:val="3FC16214"/>
    <w:rsid w:val="405B614F"/>
    <w:rsid w:val="41576FF8"/>
    <w:rsid w:val="418227BA"/>
    <w:rsid w:val="41D9164E"/>
    <w:rsid w:val="41DD521D"/>
    <w:rsid w:val="423B7022"/>
    <w:rsid w:val="426D234C"/>
    <w:rsid w:val="4389060E"/>
    <w:rsid w:val="43C8028A"/>
    <w:rsid w:val="43D51667"/>
    <w:rsid w:val="443B2C25"/>
    <w:rsid w:val="448421F1"/>
    <w:rsid w:val="45D37D9B"/>
    <w:rsid w:val="48194FD5"/>
    <w:rsid w:val="484514CB"/>
    <w:rsid w:val="48C86EE1"/>
    <w:rsid w:val="49332B41"/>
    <w:rsid w:val="49FA6EF8"/>
    <w:rsid w:val="4A784961"/>
    <w:rsid w:val="4ACF3A3C"/>
    <w:rsid w:val="4B1700DF"/>
    <w:rsid w:val="4F0F6A19"/>
    <w:rsid w:val="51D10A66"/>
    <w:rsid w:val="528A390F"/>
    <w:rsid w:val="528C6991"/>
    <w:rsid w:val="54054633"/>
    <w:rsid w:val="540605E4"/>
    <w:rsid w:val="547F0032"/>
    <w:rsid w:val="54A02A20"/>
    <w:rsid w:val="556243A1"/>
    <w:rsid w:val="55C87B3E"/>
    <w:rsid w:val="58D67D8C"/>
    <w:rsid w:val="58E10577"/>
    <w:rsid w:val="59165EF7"/>
    <w:rsid w:val="59702A12"/>
    <w:rsid w:val="5AED2A9C"/>
    <w:rsid w:val="5BC746C9"/>
    <w:rsid w:val="5CC61F72"/>
    <w:rsid w:val="5CF206F7"/>
    <w:rsid w:val="5EA0340D"/>
    <w:rsid w:val="5ED66C3C"/>
    <w:rsid w:val="5FCB55D2"/>
    <w:rsid w:val="5FDD643B"/>
    <w:rsid w:val="60BA3E42"/>
    <w:rsid w:val="6194383B"/>
    <w:rsid w:val="61A14A39"/>
    <w:rsid w:val="61CB5375"/>
    <w:rsid w:val="623348CA"/>
    <w:rsid w:val="62D67671"/>
    <w:rsid w:val="63873F66"/>
    <w:rsid w:val="64955990"/>
    <w:rsid w:val="65CA685B"/>
    <w:rsid w:val="65CF34A7"/>
    <w:rsid w:val="65D01803"/>
    <w:rsid w:val="65F43C98"/>
    <w:rsid w:val="65F660EF"/>
    <w:rsid w:val="6673798C"/>
    <w:rsid w:val="673905B6"/>
    <w:rsid w:val="681C3942"/>
    <w:rsid w:val="68460AAC"/>
    <w:rsid w:val="68AC1CFE"/>
    <w:rsid w:val="6973750A"/>
    <w:rsid w:val="6BCD1DE6"/>
    <w:rsid w:val="6C505023"/>
    <w:rsid w:val="6D14299F"/>
    <w:rsid w:val="6D672A1E"/>
    <w:rsid w:val="6DC237D1"/>
    <w:rsid w:val="6F40725E"/>
    <w:rsid w:val="70B830D1"/>
    <w:rsid w:val="711172CF"/>
    <w:rsid w:val="71FD54DD"/>
    <w:rsid w:val="7410294D"/>
    <w:rsid w:val="76D71644"/>
    <w:rsid w:val="776C2FB6"/>
    <w:rsid w:val="78E4429B"/>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8"/>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next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4"/>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4"/>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7"/>
    <w:qFormat/>
    <w:uiPriority w:val="0"/>
    <w:rPr>
      <w:sz w:val="28"/>
      <w:szCs w:val="20"/>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qFormat/>
    <w:uiPriority w:val="0"/>
    <w:pPr>
      <w:ind w:firstLine="420" w:firstLineChars="100"/>
    </w:pPr>
  </w:style>
  <w:style w:type="paragraph" w:styleId="49">
    <w:name w:val="Body Text First Indent 2"/>
    <w:basedOn w:val="21"/>
    <w:link w:val="293"/>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表格文字"/>
    <w:basedOn w:val="1"/>
    <w:qFormat/>
    <w:uiPriority w:val="0"/>
    <w:pPr>
      <w:spacing w:before="25" w:after="25"/>
      <w:jc w:val="left"/>
    </w:pPr>
    <w:rPr>
      <w:bCs/>
      <w:spacing w:val="10"/>
      <w:kern w:val="0"/>
      <w:sz w:val="24"/>
    </w:rPr>
  </w:style>
  <w:style w:type="character" w:customStyle="1" w:styleId="60">
    <w:name w:val="标题 3 Char"/>
    <w:basedOn w:val="52"/>
    <w:link w:val="3"/>
    <w:qFormat/>
    <w:uiPriority w:val="0"/>
    <w:rPr>
      <w:b/>
      <w:bCs/>
      <w:kern w:val="2"/>
      <w:sz w:val="24"/>
      <w:szCs w:val="32"/>
    </w:rPr>
  </w:style>
  <w:style w:type="character" w:customStyle="1" w:styleId="61">
    <w:name w:val="标题 1 Char"/>
    <w:basedOn w:val="52"/>
    <w:link w:val="2"/>
    <w:qFormat/>
    <w:uiPriority w:val="0"/>
    <w:rPr>
      <w:rFonts w:eastAsiaTheme="minorEastAsia"/>
      <w:b/>
      <w:kern w:val="44"/>
      <w:sz w:val="44"/>
      <w:szCs w:val="28"/>
    </w:rPr>
  </w:style>
  <w:style w:type="character" w:customStyle="1" w:styleId="62">
    <w:name w:val="标题 2 Char"/>
    <w:basedOn w:val="52"/>
    <w:link w:val="4"/>
    <w:qFormat/>
    <w:uiPriority w:val="0"/>
    <w:rPr>
      <w:rFonts w:ascii="Arial" w:hAnsi="Arial" w:eastAsiaTheme="minorEastAsia"/>
      <w:b/>
      <w:bCs/>
      <w:kern w:val="2"/>
      <w:sz w:val="28"/>
      <w:szCs w:val="32"/>
    </w:rPr>
  </w:style>
  <w:style w:type="character" w:customStyle="1" w:styleId="63">
    <w:name w:val="标题 4 Char1"/>
    <w:basedOn w:val="52"/>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2"/>
    <w:link w:val="6"/>
    <w:qFormat/>
    <w:uiPriority w:val="0"/>
    <w:rPr>
      <w:b/>
      <w:kern w:val="2"/>
      <w:sz w:val="28"/>
      <w:szCs w:val="24"/>
    </w:rPr>
  </w:style>
  <w:style w:type="character" w:customStyle="1" w:styleId="66">
    <w:name w:val="标题 6 Char1"/>
    <w:basedOn w:val="52"/>
    <w:link w:val="8"/>
    <w:qFormat/>
    <w:uiPriority w:val="9"/>
    <w:rPr>
      <w:rFonts w:ascii="Arial" w:hAnsi="Arial" w:eastAsia="黑体"/>
      <w:b/>
      <w:kern w:val="2"/>
      <w:sz w:val="24"/>
      <w:szCs w:val="24"/>
    </w:rPr>
  </w:style>
  <w:style w:type="character" w:customStyle="1" w:styleId="67">
    <w:name w:val="标题 7 Char1"/>
    <w:basedOn w:val="52"/>
    <w:link w:val="9"/>
    <w:qFormat/>
    <w:uiPriority w:val="9"/>
    <w:rPr>
      <w:b/>
      <w:kern w:val="2"/>
      <w:sz w:val="24"/>
      <w:szCs w:val="24"/>
    </w:rPr>
  </w:style>
  <w:style w:type="character" w:customStyle="1" w:styleId="68">
    <w:name w:val="标题 8 Char1"/>
    <w:basedOn w:val="52"/>
    <w:link w:val="10"/>
    <w:qFormat/>
    <w:uiPriority w:val="9"/>
    <w:rPr>
      <w:rFonts w:ascii="Arial" w:hAnsi="Arial" w:eastAsia="黑体"/>
      <w:kern w:val="2"/>
      <w:sz w:val="24"/>
      <w:szCs w:val="24"/>
    </w:rPr>
  </w:style>
  <w:style w:type="character" w:customStyle="1" w:styleId="69">
    <w:name w:val="标题 9 Char1"/>
    <w:basedOn w:val="52"/>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7"/>
    <w:qFormat/>
    <w:uiPriority w:val="0"/>
    <w:rPr>
      <w:b/>
      <w:bCs/>
      <w:kern w:val="2"/>
      <w:sz w:val="21"/>
      <w:szCs w:val="24"/>
    </w:rPr>
  </w:style>
  <w:style w:type="character" w:customStyle="1" w:styleId="72">
    <w:name w:val="正文文本 Char"/>
    <w:basedOn w:val="52"/>
    <w:link w:val="20"/>
    <w:qFormat/>
    <w:uiPriority w:val="0"/>
    <w:rPr>
      <w:kern w:val="2"/>
      <w:sz w:val="21"/>
      <w:szCs w:val="24"/>
    </w:rPr>
  </w:style>
  <w:style w:type="character" w:customStyle="1" w:styleId="73">
    <w:name w:val="正文首行缩进 Char"/>
    <w:link w:val="48"/>
    <w:qFormat/>
    <w:uiPriority w:val="0"/>
    <w:rPr>
      <w:rFonts w:eastAsia="宋体"/>
      <w:kern w:val="2"/>
      <w:sz w:val="21"/>
      <w:szCs w:val="24"/>
      <w:lang w:val="en-US" w:eastAsia="zh-CN" w:bidi="ar-SA"/>
    </w:rPr>
  </w:style>
  <w:style w:type="character" w:customStyle="1" w:styleId="74">
    <w:name w:val="文档结构图 Char"/>
    <w:basedOn w:val="52"/>
    <w:link w:val="17"/>
    <w:qFormat/>
    <w:uiPriority w:val="0"/>
    <w:rPr>
      <w:kern w:val="2"/>
      <w:sz w:val="21"/>
      <w:szCs w:val="24"/>
      <w:shd w:val="clear" w:color="auto" w:fill="000080"/>
    </w:rPr>
  </w:style>
  <w:style w:type="character" w:customStyle="1" w:styleId="75">
    <w:name w:val="正文文本缩进 Char1"/>
    <w:basedOn w:val="52"/>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29"/>
    <w:qFormat/>
    <w:uiPriority w:val="0"/>
    <w:rPr>
      <w:kern w:val="2"/>
      <w:sz w:val="21"/>
      <w:szCs w:val="24"/>
    </w:rPr>
  </w:style>
  <w:style w:type="character" w:customStyle="1" w:styleId="78">
    <w:name w:val="批注框文本 Char"/>
    <w:basedOn w:val="52"/>
    <w:link w:val="30"/>
    <w:qFormat/>
    <w:uiPriority w:val="99"/>
    <w:rPr>
      <w:kern w:val="2"/>
      <w:sz w:val="18"/>
      <w:szCs w:val="18"/>
    </w:rPr>
  </w:style>
  <w:style w:type="character" w:customStyle="1" w:styleId="79">
    <w:name w:val="页脚 Char"/>
    <w:basedOn w:val="52"/>
    <w:link w:val="31"/>
    <w:qFormat/>
    <w:uiPriority w:val="99"/>
    <w:rPr>
      <w:kern w:val="2"/>
      <w:sz w:val="18"/>
      <w:szCs w:val="18"/>
    </w:rPr>
  </w:style>
  <w:style w:type="character" w:customStyle="1" w:styleId="80">
    <w:name w:val="页眉 Char"/>
    <w:link w:val="32"/>
    <w:qFormat/>
    <w:uiPriority w:val="99"/>
    <w:rPr>
      <w:kern w:val="2"/>
      <w:sz w:val="18"/>
      <w:szCs w:val="18"/>
    </w:rPr>
  </w:style>
  <w:style w:type="character" w:customStyle="1" w:styleId="81">
    <w:name w:val="HTML 预设格式 Char1"/>
    <w:link w:val="44"/>
    <w:qFormat/>
    <w:uiPriority w:val="0"/>
    <w:rPr>
      <w:rFonts w:ascii="宋体" w:hAnsi="宋体" w:cs="宋体"/>
      <w:sz w:val="24"/>
      <w:szCs w:val="24"/>
    </w:rPr>
  </w:style>
  <w:style w:type="character" w:customStyle="1" w:styleId="82">
    <w:name w:val="标题 Char"/>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0"/>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2"/>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2"/>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2"/>
    <w:qFormat/>
    <w:uiPriority w:val="0"/>
    <w:rPr>
      <w:rFonts w:hint="eastAsia" w:ascii="仿宋_GB2312" w:eastAsia="仿宋_GB2312" w:cs="仿宋_GB2312"/>
      <w:color w:val="000000"/>
      <w:sz w:val="20"/>
      <w:szCs w:val="20"/>
      <w:u w:val="none"/>
    </w:rPr>
  </w:style>
  <w:style w:type="character" w:customStyle="1" w:styleId="168">
    <w:name w:val="font31"/>
    <w:basedOn w:val="52"/>
    <w:qFormat/>
    <w:uiPriority w:val="0"/>
    <w:rPr>
      <w:rFonts w:hint="default" w:ascii="Symbol" w:hAnsi="Symbol" w:cs="Symbol"/>
      <w:color w:val="000000"/>
      <w:sz w:val="20"/>
      <w:szCs w:val="20"/>
      <w:u w:val="none"/>
    </w:rPr>
  </w:style>
  <w:style w:type="character" w:customStyle="1" w:styleId="169">
    <w:name w:val="font71"/>
    <w:basedOn w:val="52"/>
    <w:qFormat/>
    <w:uiPriority w:val="0"/>
    <w:rPr>
      <w:rFonts w:ascii="Arial" w:hAnsi="Arial" w:cs="Arial"/>
      <w:color w:val="000000"/>
      <w:sz w:val="20"/>
      <w:szCs w:val="20"/>
      <w:u w:val="none"/>
    </w:rPr>
  </w:style>
  <w:style w:type="character" w:customStyle="1" w:styleId="170">
    <w:name w:val="font21"/>
    <w:basedOn w:val="52"/>
    <w:qFormat/>
    <w:uiPriority w:val="0"/>
    <w:rPr>
      <w:rFonts w:hint="default" w:ascii="Symbol" w:hAnsi="Symbol" w:cs="Symbol"/>
      <w:color w:val="000000"/>
      <w:sz w:val="20"/>
      <w:szCs w:val="20"/>
      <w:u w:val="none"/>
    </w:rPr>
  </w:style>
  <w:style w:type="character" w:customStyle="1" w:styleId="171">
    <w:name w:val="font91"/>
    <w:basedOn w:val="52"/>
    <w:qFormat/>
    <w:uiPriority w:val="0"/>
    <w:rPr>
      <w:rFonts w:ascii="Arial" w:hAnsi="Arial" w:cs="Arial"/>
      <w:color w:val="000000"/>
      <w:sz w:val="20"/>
      <w:szCs w:val="20"/>
      <w:u w:val="none"/>
    </w:rPr>
  </w:style>
  <w:style w:type="character" w:customStyle="1" w:styleId="172">
    <w:name w:val="font51"/>
    <w:basedOn w:val="52"/>
    <w:qFormat/>
    <w:uiPriority w:val="0"/>
    <w:rPr>
      <w:rFonts w:ascii="仿宋" w:hAnsi="仿宋" w:eastAsia="仿宋" w:cs="仿宋"/>
      <w:color w:val="000000"/>
      <w:sz w:val="21"/>
      <w:szCs w:val="21"/>
      <w:u w:val="none"/>
    </w:rPr>
  </w:style>
  <w:style w:type="character" w:customStyle="1" w:styleId="173">
    <w:name w:val="font101"/>
    <w:basedOn w:val="52"/>
    <w:qFormat/>
    <w:uiPriority w:val="0"/>
    <w:rPr>
      <w:rFonts w:hint="eastAsia" w:ascii="仿宋_GB2312" w:eastAsia="仿宋_GB2312" w:cs="仿宋_GB2312"/>
      <w:color w:val="000000"/>
      <w:sz w:val="20"/>
      <w:szCs w:val="20"/>
      <w:u w:val="none"/>
    </w:rPr>
  </w:style>
  <w:style w:type="character" w:customStyle="1" w:styleId="174">
    <w:name w:val="font61"/>
    <w:basedOn w:val="52"/>
    <w:qFormat/>
    <w:uiPriority w:val="0"/>
    <w:rPr>
      <w:rFonts w:hint="eastAsia" w:ascii="宋体" w:hAnsi="宋体" w:eastAsia="宋体" w:cs="宋体"/>
      <w:color w:val="000000"/>
      <w:sz w:val="20"/>
      <w:szCs w:val="20"/>
      <w:u w:val="none"/>
    </w:rPr>
  </w:style>
  <w:style w:type="character" w:customStyle="1" w:styleId="175">
    <w:name w:val="font81"/>
    <w:basedOn w:val="52"/>
    <w:qFormat/>
    <w:uiPriority w:val="0"/>
    <w:rPr>
      <w:rFonts w:hint="eastAsia" w:ascii="仿宋" w:hAnsi="仿宋" w:eastAsia="仿宋" w:cs="仿宋"/>
      <w:color w:val="000000"/>
      <w:sz w:val="21"/>
      <w:szCs w:val="21"/>
      <w:u w:val="none"/>
    </w:rPr>
  </w:style>
  <w:style w:type="character" w:customStyle="1" w:styleId="176">
    <w:name w:val="font111"/>
    <w:basedOn w:val="52"/>
    <w:qFormat/>
    <w:uiPriority w:val="0"/>
    <w:rPr>
      <w:rFonts w:hint="eastAsia" w:ascii="仿宋_GB2312" w:eastAsia="仿宋_GB2312" w:cs="仿宋_GB2312"/>
      <w:color w:val="000000"/>
      <w:sz w:val="21"/>
      <w:szCs w:val="21"/>
      <w:u w:val="none"/>
    </w:rPr>
  </w:style>
  <w:style w:type="character" w:customStyle="1" w:styleId="177">
    <w:name w:val="font121"/>
    <w:basedOn w:val="52"/>
    <w:qFormat/>
    <w:uiPriority w:val="0"/>
    <w:rPr>
      <w:rFonts w:ascii="Arial" w:hAnsi="Arial" w:cs="Arial"/>
      <w:color w:val="000000"/>
      <w:sz w:val="20"/>
      <w:szCs w:val="20"/>
      <w:u w:val="none"/>
    </w:rPr>
  </w:style>
  <w:style w:type="character" w:customStyle="1" w:styleId="178">
    <w:name w:val="font112"/>
    <w:basedOn w:val="52"/>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2"/>
    <w:qFormat/>
    <w:uiPriority w:val="0"/>
    <w:rPr>
      <w:b/>
      <w:bCs/>
      <w:kern w:val="2"/>
      <w:sz w:val="28"/>
      <w:szCs w:val="28"/>
    </w:rPr>
  </w:style>
  <w:style w:type="character" w:customStyle="1" w:styleId="260">
    <w:name w:val="标题 6 Char"/>
    <w:basedOn w:val="52"/>
    <w:qFormat/>
    <w:uiPriority w:val="9"/>
    <w:rPr>
      <w:rFonts w:asciiTheme="majorHAnsi" w:hAnsiTheme="majorHAnsi" w:eastAsiaTheme="majorEastAsia" w:cstheme="majorBidi"/>
      <w:b/>
      <w:bCs/>
      <w:kern w:val="2"/>
      <w:sz w:val="24"/>
      <w:szCs w:val="24"/>
    </w:rPr>
  </w:style>
  <w:style w:type="character" w:customStyle="1" w:styleId="261">
    <w:name w:val="标题 7 Char"/>
    <w:basedOn w:val="52"/>
    <w:qFormat/>
    <w:uiPriority w:val="9"/>
    <w:rPr>
      <w:b/>
      <w:bCs/>
      <w:kern w:val="2"/>
      <w:sz w:val="24"/>
      <w:szCs w:val="24"/>
    </w:rPr>
  </w:style>
  <w:style w:type="character" w:customStyle="1" w:styleId="262">
    <w:name w:val="标题 8 Char"/>
    <w:basedOn w:val="52"/>
    <w:qFormat/>
    <w:uiPriority w:val="9"/>
    <w:rPr>
      <w:rFonts w:asciiTheme="majorHAnsi" w:hAnsiTheme="majorHAnsi" w:eastAsiaTheme="majorEastAsia" w:cstheme="majorBidi"/>
      <w:kern w:val="2"/>
      <w:sz w:val="24"/>
      <w:szCs w:val="24"/>
    </w:rPr>
  </w:style>
  <w:style w:type="character" w:customStyle="1" w:styleId="263">
    <w:name w:val="标题 9 Char"/>
    <w:basedOn w:val="52"/>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2"/>
    <w:qFormat/>
    <w:uiPriority w:val="99"/>
    <w:rPr>
      <w:rFonts w:ascii="Times New Roman" w:hAnsi="Times New Roman" w:eastAsia="宋体" w:cs="Times New Roman"/>
      <w:sz w:val="18"/>
      <w:szCs w:val="18"/>
    </w:rPr>
  </w:style>
  <w:style w:type="character" w:customStyle="1" w:styleId="266">
    <w:name w:val="页脚 Char1"/>
    <w:basedOn w:val="52"/>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2"/>
    <w:qFormat/>
    <w:uiPriority w:val="99"/>
    <w:rPr>
      <w:rFonts w:ascii="Times New Roman" w:hAnsi="Times New Roman" w:eastAsia="宋体" w:cs="Times New Roman"/>
      <w:szCs w:val="24"/>
    </w:rPr>
  </w:style>
  <w:style w:type="character" w:customStyle="1" w:styleId="269">
    <w:name w:val="文档结构图 Char1"/>
    <w:basedOn w:val="52"/>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2"/>
    <w:qFormat/>
    <w:uiPriority w:val="0"/>
    <w:rPr>
      <w:rFonts w:ascii="Times New Roman" w:hAnsi="Times New Roman" w:eastAsia="宋体" w:cs="Times New Roman"/>
      <w:sz w:val="18"/>
      <w:szCs w:val="18"/>
    </w:rPr>
  </w:style>
  <w:style w:type="character" w:customStyle="1" w:styleId="272">
    <w:name w:val="标题 1 Char1"/>
    <w:basedOn w:val="52"/>
    <w:qFormat/>
    <w:uiPriority w:val="0"/>
    <w:rPr>
      <w:b/>
      <w:bCs/>
      <w:kern w:val="44"/>
      <w:sz w:val="44"/>
      <w:szCs w:val="44"/>
    </w:rPr>
  </w:style>
  <w:style w:type="character" w:customStyle="1" w:styleId="273">
    <w:name w:val="标题 2 Char1"/>
    <w:basedOn w:val="52"/>
    <w:qFormat/>
    <w:uiPriority w:val="0"/>
    <w:rPr>
      <w:rFonts w:asciiTheme="majorHAnsi" w:hAnsiTheme="majorHAnsi" w:eastAsiaTheme="majorEastAsia" w:cstheme="majorBidi"/>
      <w:b/>
      <w:bCs/>
      <w:kern w:val="2"/>
      <w:sz w:val="32"/>
      <w:szCs w:val="32"/>
    </w:rPr>
  </w:style>
  <w:style w:type="character" w:customStyle="1" w:styleId="274">
    <w:name w:val="标题 3 Char1"/>
    <w:basedOn w:val="52"/>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3"/>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49"/>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5"/>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2"/>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3"/>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0"/>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8"/>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2"/>
    <w:semiHidden/>
    <w:qFormat/>
    <w:uiPriority w:val="0"/>
    <w:rPr>
      <w:kern w:val="2"/>
      <w:sz w:val="21"/>
      <w:szCs w:val="24"/>
    </w:rPr>
  </w:style>
  <w:style w:type="character" w:customStyle="1" w:styleId="349">
    <w:name w:val="标题 字符1"/>
    <w:basedOn w:val="52"/>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2"/>
    <w:semiHidden/>
    <w:qFormat/>
    <w:uiPriority w:val="0"/>
    <w:rPr>
      <w:kern w:val="2"/>
      <w:sz w:val="21"/>
      <w:szCs w:val="24"/>
    </w:rPr>
  </w:style>
  <w:style w:type="character" w:customStyle="1" w:styleId="352">
    <w:name w:val="正文文本缩进 3 Char2"/>
    <w:basedOn w:val="52"/>
    <w:semiHidden/>
    <w:qFormat/>
    <w:uiPriority w:val="0"/>
    <w:rPr>
      <w:kern w:val="2"/>
      <w:sz w:val="16"/>
      <w:szCs w:val="16"/>
    </w:rPr>
  </w:style>
  <w:style w:type="character" w:customStyle="1" w:styleId="353">
    <w:name w:val="日期 Char2"/>
    <w:basedOn w:val="52"/>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4"/>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2"/>
    <w:link w:val="19"/>
    <w:qFormat/>
    <w:uiPriority w:val="0"/>
    <w:rPr>
      <w:kern w:val="2"/>
      <w:sz w:val="16"/>
      <w:szCs w:val="16"/>
    </w:rPr>
  </w:style>
  <w:style w:type="character" w:customStyle="1" w:styleId="460">
    <w:name w:val="content"/>
    <w:basedOn w:val="52"/>
    <w:qFormat/>
    <w:uiPriority w:val="0"/>
  </w:style>
  <w:style w:type="character" w:customStyle="1" w:styleId="461">
    <w:name w:val="ca-3"/>
    <w:basedOn w:val="52"/>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8"/>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2"/>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2"/>
    <w:qFormat/>
    <w:uiPriority w:val="0"/>
  </w:style>
  <w:style w:type="character" w:customStyle="1" w:styleId="471">
    <w:name w:val="apple-style-span"/>
    <w:basedOn w:val="52"/>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qFormat/>
    <w:uiPriority w:val="0"/>
    <w:rPr>
      <w:rFonts w:ascii="宋体" w:hAnsi="Courier New"/>
      <w:szCs w:val="20"/>
    </w:rPr>
  </w:style>
  <w:style w:type="character" w:customStyle="1" w:styleId="482">
    <w:name w:val="脚注文本 Char2"/>
    <w:basedOn w:val="52"/>
    <w:semiHidden/>
    <w:qFormat/>
    <w:uiPriority w:val="0"/>
    <w:rPr>
      <w:kern w:val="2"/>
      <w:sz w:val="18"/>
      <w:szCs w:val="18"/>
    </w:rPr>
  </w:style>
  <w:style w:type="paragraph" w:customStyle="1" w:styleId="483">
    <w:name w:val="_Style 56"/>
    <w:basedOn w:val="1"/>
    <w:next w:val="26"/>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纯文本 Char2"/>
    <w:qFormat/>
    <w:uiPriority w:val="99"/>
    <w:rPr>
      <w:rFonts w:ascii="宋体" w:hAnsi="Courier New"/>
      <w:kern w:val="2"/>
      <w:sz w:val="21"/>
    </w:rPr>
  </w:style>
  <w:style w:type="character" w:customStyle="1" w:styleId="507">
    <w:name w:val="正文缩进 字符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5C980-14EF-4BFC-BDDF-F6549B74D28C}">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78</Pages>
  <Words>48331</Words>
  <Characters>51455</Characters>
  <Lines>412</Lines>
  <Paragraphs>116</Paragraphs>
  <TotalTime>0</TotalTime>
  <ScaleCrop>false</ScaleCrop>
  <LinksUpToDate>false</LinksUpToDate>
  <CharactersWithSpaces>53935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中正招标李森创</cp:lastModifiedBy>
  <cp:lastPrinted>2020-05-26T01:03:00Z</cp:lastPrinted>
  <dcterms:modified xsi:type="dcterms:W3CDTF">2023-08-10T02:01:52Z</dcterms:modified>
  <dc:title>招标编号：UHO2010-G0029</dc:title>
  <cp:revision>563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8A3E260ACCDF4E1894A9608D60CD85A3_13</vt:lpwstr>
  </property>
</Properties>
</file>